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153" y="0"/>
                      <wp:lineTo x="-1153" y="20715"/>
                      <wp:lineTo x="21836" y="20715"/>
                      <wp:lineTo x="21836" y="0"/>
                      <wp:lineTo x="-115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5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3470" cy="297815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960" cy="29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pt;height:23.3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Использование указателей при работе со строками С++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8"/>
        <w:gridCol w:w="2217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7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7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7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Дана строка, содержащая несколько символов “#”. Определить количество указанных символов в строке. Пользуясь указателями, определить адреса всех  символов, расположенных между 1м найденным символом и ближайшим к нему. Вывести на экран найденное количество символов и необходимые адреса. Если символ один, то выдать соответствующее сообщение.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&lt;conio.h&gt;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&lt;stdio.h&gt;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&lt;stdlib.h&gt;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&lt;string.h&gt;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using namespace std;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string");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cnt = 0, i = 0;;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char s[50], * k;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gets_s(s);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while (s[i] != 0)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if (s[i] == '#')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cnt++;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i++;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printf("found #: %d \n", cnt);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if (cnt &lt;= 1)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puts("less then two # symbs");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else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 =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while (s[i] != '#')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i++;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i++;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while (s[i] != '#')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k = &amp;s[i];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printf("\n %X", k);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ab/>
        <w:t>i++;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_getch();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Тесты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йцукен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found #: 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less then two # symbs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found #: 0</w:t>
            </w:r>
          </w:p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less then two # symbs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s#fgh#gg#f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found #: 3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CFFD6E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CFFD6F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CFFD70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found #: 3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CFFD6E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CFFD6F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sz w:val="28"/>
                <w:szCs w:val="28"/>
              </w:rPr>
              <w:t>CFFD70</w:t>
            </w:r>
          </w:p>
        </w:tc>
      </w:tr>
      <w:tr>
        <w:trPr/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dfgg#db</w:t>
            </w:r>
          </w:p>
        </w:tc>
        <w:tc>
          <w:tcPr>
            <w:tcW w:w="31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found #: 1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less then two # symbs</w:t>
            </w:r>
          </w:p>
        </w:tc>
        <w:tc>
          <w:tcPr>
            <w:tcW w:w="31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found #: 1</w:t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less then two # symbs</w:t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Схем</w:t>
      </w: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color w:val="000000"/>
          <w:sz w:val="28"/>
          <w:szCs w:val="28"/>
          <w:lang w:val="en-US"/>
        </w:rPr>
        <w:t>Source.cpp)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735330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720" w:right="0" w:hanging="0"/>
        <w:jc w:val="both"/>
        <w:rPr/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В С++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строки значительно отличаются от строк в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delphi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обрабатываются или как массив символов или как указатель на символ, большинство функций работающих со строками находится в библиотеке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&lt;string.h&gt;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LibreOffice/6.3.4.2$Windows_x86 LibreOffice_project/60da17e045e08f1793c57c00ba83cdfce946d0aa</Application>
  <Pages>5</Pages>
  <Words>306</Words>
  <Characters>1767</Characters>
  <CharactersWithSpaces>2039</CharactersWithSpaces>
  <Paragraphs>96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2020-02-21T23:48:36Z</dcterms:modified>
  <cp:revision>13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