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1"/>
        <w:gridCol w:w="8474"/>
      </w:tblGrid>
      <w:tr>
        <w:trPr/>
        <w:tc>
          <w:tcPr>
            <w:tcW w:w="141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 xml:space="preserve"> д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омашнему заданию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highlight w:val="white"/>
              </w:rPr>
              <w:t>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125" cy="1524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2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>Название:</w:t>
      </w:r>
      <w:r>
        <w:rPr>
          <w:sz w:val="32"/>
          <w:szCs w:val="32"/>
          <w:highlight w:val="white"/>
          <w:u w:val="none"/>
        </w:rPr>
        <w:t xml:space="preserve"> </w:t>
      </w:r>
      <w:r>
        <w:rPr>
          <w:sz w:val="32"/>
          <w:szCs w:val="32"/>
          <w:highlight w:val="white"/>
          <w:u w:val="single"/>
        </w:rPr>
        <w:t>Лексические и синтаксические анализаторы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6"/>
        <w:gridCol w:w="1838"/>
        <w:gridCol w:w="1823"/>
        <w:gridCol w:w="2209"/>
        <w:gridCol w:w="2153"/>
      </w:tblGrid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Разработать грамматику и распознаватель описаний записей с вариантами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Pascal.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Предусмотреть следущие типы элементов: </w:t>
      </w:r>
      <w:r>
        <w:rPr>
          <w:rFonts w:ascii="Times New Roman" w:hAnsi="Times New Roman"/>
          <w:sz w:val="28"/>
          <w:szCs w:val="28"/>
          <w:lang w:val="en-US"/>
        </w:rPr>
        <w:t>Real, Integer, Char, Byte.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Например: </w:t>
      </w:r>
      <w:r>
        <w:rPr>
          <w:rFonts w:ascii="Times New Roman" w:hAnsi="Times New Roman"/>
          <w:sz w:val="28"/>
          <w:szCs w:val="28"/>
          <w:lang w:val="en-US"/>
        </w:rPr>
        <w:t>Var se:record I,k: byte; case of 1:(h:integer); 2:(ch:char) end;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  <w:lang w:val="ru-RU"/>
        </w:rPr>
        <w:t>Цель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Закрепление знаний теоретических основ и основных методов приемов разработки лексических и синтаксических анализаторов регулярных и контекстно-свободных формальных языков.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Описание грамматики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</w:rPr>
        <w:t>В форме Бэкуса-Наура: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&lt;запись&gt; ::= var &lt;идентификатор&gt;:record &lt;постоянные поля&gt;; &lt;поля с вариантами&gt; end;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>|var &lt;идентификатор&gt;:record &lt;постоянные поля&gt; end;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&lt;постоянные поля&gt; ::= &lt;поля одного типа&gt;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| &lt;поля одного типа&gt;;&lt;постоянные поля&gt;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&lt;поля с вариантами&gt; ::= case &lt;идентификатор&gt; of &lt;случаи&gt;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&lt;случаи&gt; = &lt;случай&gt; | &lt;случай&gt;;&lt;случаи&gt;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&lt;случай&gt; ::= &lt;ключ&gt;: (&lt;поля одного типа&gt;)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&lt;поля одного типа&gt; ::= &lt;идентификаторы&gt;: &lt;тип&gt;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&lt;идентификаторы&gt; ::= &lt;идентификатор&gt; | &lt;идентификатор&gt;,&lt;идентификаторы&gt;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&lt;идентификатор&gt; ::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ru-RU"/>
        </w:rPr>
        <w:t xml:space="preserve">&lt;буква&gt; </w:t>
      </w:r>
      <w:r>
        <w:rPr>
          <w:rFonts w:ascii="Times New Roman" w:hAnsi="Times New Roman"/>
          <w:sz w:val="28"/>
          <w:szCs w:val="28"/>
          <w:lang w:val="en-US"/>
        </w:rPr>
        <w:t>| &lt;</w:t>
      </w:r>
      <w:r>
        <w:rPr>
          <w:rFonts w:ascii="Times New Roman" w:hAnsi="Times New Roman"/>
          <w:sz w:val="28"/>
          <w:szCs w:val="28"/>
          <w:lang w:val="ru-RU"/>
        </w:rPr>
        <w:t xml:space="preserve">буква&gt;&lt;идентификатор&gt; </w:t>
      </w:r>
      <w:r>
        <w:rPr>
          <w:rFonts w:ascii="Times New Roman" w:hAnsi="Times New Roman"/>
          <w:sz w:val="28"/>
          <w:szCs w:val="28"/>
          <w:lang w:val="en-US"/>
        </w:rPr>
        <w:t>| &lt;</w:t>
      </w:r>
      <w:r>
        <w:rPr>
          <w:rFonts w:ascii="Times New Roman" w:hAnsi="Times New Roman"/>
          <w:sz w:val="28"/>
          <w:szCs w:val="28"/>
          <w:lang w:val="ru-RU"/>
        </w:rPr>
        <w:t>цифра&gt;&lt;идентификатор&gt;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&lt;ключ&gt; ::</w:t>
      </w:r>
      <w:r>
        <w:rPr>
          <w:rFonts w:ascii="Times New Roman" w:hAnsi="Times New Roman"/>
          <w:sz w:val="28"/>
          <w:szCs w:val="28"/>
          <w:lang w:val="en-US"/>
        </w:rPr>
        <w:t>= 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 xml:space="preserve">&gt; | </w:t>
      </w:r>
      <w:r>
        <w:rPr>
          <w:rFonts w:ascii="Times New Roman" w:hAnsi="Times New Roman"/>
          <w:sz w:val="28"/>
          <w:szCs w:val="28"/>
          <w:lang w:val="ru-RU"/>
        </w:rPr>
        <w:t>&lt;цифра&gt;&lt;ключ&gt;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&lt;тип&gt; ::</w:t>
      </w:r>
      <w:r>
        <w:rPr>
          <w:rFonts w:ascii="Times New Roman" w:hAnsi="Times New Roman"/>
          <w:sz w:val="28"/>
          <w:szCs w:val="28"/>
          <w:lang w:val="en-US"/>
        </w:rPr>
        <w:t>= byte | char | integer | real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>&gt; ::= 0|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|2|3|4|5|6|7|8|9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&lt;буква&gt; ::</w:t>
      </w:r>
      <w:r>
        <w:rPr>
          <w:rFonts w:ascii="Times New Roman" w:hAnsi="Times New Roman"/>
          <w:sz w:val="28"/>
          <w:szCs w:val="28"/>
          <w:lang w:val="en-US"/>
        </w:rPr>
        <w:t>= _ | a | b | … | z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 форме синтаксических диаграмм: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Соответствующие конструкциям грамматики диаграммы представлены на рисунках 1-8: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993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синтаксическая диаграмма «запись»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240" cy="9836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2 — синтаксическая диаграмма «постоянные поля»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4381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3 — синтаксическая диаграмма «поля с вариантами»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9620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4 — синтаксическая диаграмма «случаи»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45720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5 — синтаксическая диаграмма «случай»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39052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6 — синтаксическая диаграмма «поля одного типа»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866775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1431290</wp:posOffset>
            </wp:positionH>
            <wp:positionV relativeFrom="paragraph">
              <wp:posOffset>1384300</wp:posOffset>
            </wp:positionV>
            <wp:extent cx="3305175" cy="1057275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7 — синтаксическая диаграмма «идентификаторы»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Рисунок 8 — синтаксическая диаграмма «идентификатор»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Код программы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validID(x)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(/[_a-z]$/.test(x[0]))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((/[_a-z0-9]$/.test(x[0])) &amp;&amp; x.length &gt; 0)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ID"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validIDs(x)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",")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console.log("validingIDs end")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validType(x)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console.log("validingType:"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== "byte" || x.slice(0, 4) == "char" || x.slice(0, 4) == "real")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x.slice(4)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if (x.slice(0, 7) == "integer")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x.slice(7)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Type"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logOnUi("Type: "+xcpy.slice(0,xcpy.length-x.length))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validSameFields(x)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console.log("validingSameFields:"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logOnUi("\nFields: "+ xcpy.slice(0,xcpy.length-x.length))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validType(x)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Same Fields"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validKey(x)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console.log("validingKey:"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(/[0-9]$/.test(x[0]))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((/[0-9]$/.test(x[0])) &amp;&amp; x.length &gt; 0)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Key"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!=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Key"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validCase(x)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validKey(x)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"(")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")")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(flag != 3)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Case"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validCases(x)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console.log("validingCases end")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validSwitchFields(x)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console.log("validingSwitch:"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==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x.slice(4)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2) == "of")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x.slice(2)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(flag != 2)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Switch"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validStaticFields(x)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false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console.log("validingStatic:"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!=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true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(flag)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false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!=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true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validRecord(x){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x.toLowerCase()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x.replace(/[\n\t]/g," 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console.log("validingRecord:"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if(x.slice(0,3)=="var"){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x.slice(3)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logOnUi("Record name: "+ xcpy.slice(0, (xcpy.length-x.length)))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if(x.slice(0,7)==":record"){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x.slice(7)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validStaticFields(x)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if(x.slice(0,4)=="end;"){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validSwitchFields(x)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if(x.slice(0,4)=="end;"){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if(flag!=3){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Record"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// =========================== UI Business-logic ===============================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validUiCall(){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codeInput = document.getElementById("codeInput")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 = document.getElementById("resultInput")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code = codeInput.value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try{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validRecord(code)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"Code is correct"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"bg-success 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}catch(e){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"bg-danger 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logOnUi(x)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 = document.getElementById("logTextArea")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logArea.value += x + "\n"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resetUi(){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 = document.getElementById("resultInput")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""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 = document.getElementById("logTextArea")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logArea.value = ""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rStyle w:val="Style14"/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40"/>
          <w:szCs w:val="40"/>
          <w:lang w:val="ru-RU"/>
        </w:rPr>
        <w:t>Графический интерфейс программы</w:t>
      </w:r>
    </w:p>
    <w:p>
      <w:pPr>
        <w:pStyle w:val="LOnormal"/>
        <w:spacing w:lineRule="auto" w:line="360"/>
        <w:jc w:val="left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Вид графического интерфейса представлен на рисунке 9 (использован веб-браузер 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en-US"/>
        </w:rPr>
        <w:t>Chrome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).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097655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исунок 9 -  графическ</w:t>
      </w:r>
      <w:r>
        <w:rPr>
          <w:rStyle w:val="Style14"/>
          <w:rFonts w:eastAsia="NSimSun" w:cs="Liberation Mono" w:ascii="Times New Roman" w:hAnsi="Times New Roman"/>
          <w:i w:val="false"/>
          <w:iCs w:val="false"/>
          <w:sz w:val="28"/>
          <w:szCs w:val="28"/>
          <w:lang w:val="ru-RU"/>
        </w:rPr>
        <w:t>ий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интерфейс программы</w:t>
      </w:r>
    </w:p>
    <w:p>
      <w:pPr>
        <w:pStyle w:val="LOnormal"/>
        <w:spacing w:lineRule="auto" w:line="360"/>
        <w:jc w:val="left"/>
        <w:rPr>
          <w:rStyle w:val="Style14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40"/>
          <w:szCs w:val="40"/>
          <w:lang w:val="ru-RU"/>
        </w:rPr>
        <w:t>Тестирование программы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Тесты, с помощью которых была проверена корректность исполнения программы представлены в таблице 1.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Таблица 1 — тестирование программы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Ожидаемый вывод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byte;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case saa of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42: (ab, gh: integer);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3213: (_ab, gd3h: byte)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ab, gh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_ab, gd3h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ab, gh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_ab, gd3h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aff, gh1: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</w:t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2gh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aff, gh1: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ID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byte;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case saa of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a42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: (ab, gh: integer);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3213: (_ab, gd3h: byte)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Key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Key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</w:t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bte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Type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Type</w:t>
            </w:r>
          </w:p>
        </w:tc>
      </w:tr>
    </w:tbl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NSimSun" w:cs="Arial"/>
          <w:color w:val="auto"/>
          <w:kern w:val="2"/>
          <w:sz w:val="40"/>
          <w:szCs w:val="40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Контрольные вопросы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1. Дайте определение формального языка и формальной грамматики.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Формальным  языком L  в  алфавите A называют произвольное подмножество множества A*. Язык можно задать перечислением и правилами продукции.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Грамматика в теории формальных языков — способ описания формального языка, то есть выделения некоторого подмножества из множества всех слов некоторого конечного алфавита. 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Грамматики бывают порождающими и аналитическими. Порождающие грамматики задаются четверкой G = (V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,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, P, S), где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 —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множество терминальных символов, 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 —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множество нетерминальных символов,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P –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множество порождающих правил,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S –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начальный символ.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2. Как определяется тип грамматики по Хомскому?</w:t>
        <w:tab/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0. неограниченные грамматики — возможны любые правила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α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β, где α є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+, βєV*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1. контекстно-зависимые грамматики — левая часть может содержать один нетерминал, окруженный «контекстом» (последовательности символов, в том же виде присутствующие в правой части); сам нетерминал заменяется непустой последовательностью символов в правой части.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αXβ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αxβ, где XєV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xєV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Т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α, β є V*, причем α, β одновременно не являются пустыми, а значит возможность подстановки х вместо символа X определяется присутствием хотя бы одной из подстрок α и β, т. е. контекста;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2. контекстно-свободные грамматики — левая часть состоит из одного нетерминала, соответственно, подстановки не зависят от контекста.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β, где AєV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βє V*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3. регулярные грамматики — эквивалентны конечным автоматам.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α, 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αB или 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Bα, где A, ВєV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α є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.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3. Поясните физический смысл и обозначения формы Бэкуса–Наура.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Форма Бэкуса-Наура (БНФ) Используется для описания контекстно-свободных формальных грамматик, посредством последовательной замены одних выражений другими. Нетерминальные символы обозначаются в &lt;...&gt;. Используемые операции: «::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=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» - замена и «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|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» - «или».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4. Что такое лексический анализ?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Какие методы выполнения лексического анализа вы знаете?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При выполнении лексического анализа текст разбивают на «предложения» – операторы языка, а операторы – на «слова», которые применительно к компиляции называют лексемами. 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Лексический анализатор выполняет преобразование исходного текста в строку однородных символов. Каждый символ результирующей строки – токен - соответствует слову языка.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Обычно исходный текст разбивается на токены с помощью конечно автомата, в чем и заключается лексический анализ.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В случае метод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а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рекурсивного спуска, лексический и синтаксический анализы не разделяются явным образом.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5. Что такое синтаксический анализ? Какие методы синтаксического анализа вы знаете? К каким грамматикам применяются перечисленные вами методы?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Синтаксический анализ – процесс распознавания конструкций языка в строке токенов. </w:t>
      </w:r>
    </w:p>
    <w:p>
      <w:pPr>
        <w:pStyle w:val="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Метод выполнения синтаксического анализатора определяется типом грамматики языка: 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для регулярных грамматик используют конечные автоматы; 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для КС грамматик – автоматы с магазинной памятью (на практике обычно заменяется или рекурсивным спуском или пишется программа с использованием свойств грамматики предшествования).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6. Что является результатом лексического анализа?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Результатом лексического анализа является строка токенов. Каждый токен соответствует слову языка – лексеме и характеризуется набором атрибутов, таких как тип, адрес и т. п.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7. Что является результатом синтаксического анализа?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Кроме распознавания заданной конструкции, результатом лексического анализа является информация об ошибках в выражениях, операторах и описаниях программы. 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8. В чем заключается метод рекурсивного спуска?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По синтаксическим диаграммам разрабатываются функции проверки конструкций языка, а затем составляется основная программа начинающая вызов функций с функции, реализующей аксиому языка.</w:t>
      </w:r>
    </w:p>
    <w:p>
      <w:pPr>
        <w:pStyle w:val="LOnormal"/>
        <w:spacing w:lineRule="auto" w:line="360"/>
        <w:jc w:val="both"/>
        <w:rPr>
          <w:shd w:fill="FFFFFF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9. Что такое таблица предшествования и для чего она строится?</w:t>
      </w:r>
    </w:p>
    <w:p>
      <w:pPr>
        <w:pStyle w:val="LOnormal"/>
        <w:spacing w:lineRule="auto" w:line="360"/>
        <w:jc w:val="both"/>
        <w:rPr>
          <w:shd w:fill="FFFFFF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Т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аблица предшествования -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таблица, показывающая отношения предшествования терминалов.</w:t>
      </w:r>
    </w:p>
    <w:p>
      <w:pPr>
        <w:pStyle w:val="LOnormal"/>
        <w:spacing w:lineRule="auto" w:line="360"/>
        <w:jc w:val="both"/>
        <w:rPr>
          <w:shd w:fill="FFFFFF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10.  Как  с  использованием  таблицы  предшествования  осуществляют синтаксический анализ?</w:t>
      </w:r>
    </w:p>
    <w:p>
      <w:pPr>
        <w:pStyle w:val="LOnormal"/>
        <w:spacing w:lineRule="auto" w:line="360"/>
        <w:jc w:val="both"/>
        <w:rPr>
          <w:shd w:fill="FFFFFF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Таблица позволяет находить и сворачивать синтаксические основы, если основа не имеет начала или конца, то синтаксический анализатор выдаст ошибку.</w:t>
      </w:r>
    </w:p>
    <w:p>
      <w:pPr>
        <w:pStyle w:val="LOnormal"/>
        <w:spacing w:lineRule="auto" w:line="360"/>
        <w:jc w:val="both"/>
        <w:rPr>
          <w:shd w:fill="auto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auto" w:val="clear"/>
          <w:lang w:val="ru-RU" w:eastAsia="zh-CN" w:bidi="hi-IN"/>
        </w:rPr>
        <w:tab/>
      </w:r>
      <w:r>
        <w:rPr>
          <w:rFonts w:eastAsia="NSimSun" w:cs="Arial" w:ascii="Times New Roman" w:hAnsi="Times New Roman"/>
          <w:b/>
          <w:bCs/>
          <w:color w:val="000000"/>
          <w:kern w:val="2"/>
          <w:sz w:val="28"/>
          <w:szCs w:val="28"/>
          <w:shd w:fill="auto" w:val="clear"/>
          <w:lang w:val="ru-RU" w:eastAsia="zh-CN" w:bidi="hi-IN"/>
        </w:rPr>
        <w:t>Вывод: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auto" w:val="clear"/>
          <w:lang w:val="ru-RU" w:eastAsia="zh-CN" w:bidi="hi-IN"/>
        </w:rPr>
        <w:t xml:space="preserve"> в ходе данной работы были изучены методы лексического и синтаксического анализа контекстно-свободных грамматик.</w:t>
      </w:r>
    </w:p>
    <w:sectPr>
      <w:footerReference w:type="default" r:id="rId13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LibreOffice/7.0.1.2$Windows_x86 LibreOffice_project/7cbcfc562f6eb6708b5ff7d7397325de9e764452</Application>
  <Pages>12</Pages>
  <Words>1710</Words>
  <Characters>10308</Characters>
  <CharactersWithSpaces>13164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2021-05-05T08:22:34Z</dcterms:created>
  <dc:creator/>
  <dc:description/>
  <dc:language>ru-RU</dc:language>
  <cp:lastModifiedBy/>
  <dcterms:modified xsi:type="dcterms:W3CDTF">2021-05-18T12:50:56Z</dcterms:modified>
  <cp:revision>20</cp:revision>
  <dc:subject/>
  <dc:title/>
</cp:coreProperties>
</file>