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5"/>
        <w:gridCol w:w="8471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firstLine="3544"/>
        <w:jc w:val="left"/>
        <w:rPr>
          <w:i/>
          <w:i/>
          <w:sz w:val="32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rFonts w:ascii="Times New Roman" w:hAnsi="Times New Roman"/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spacing w:before="120" w:after="240"/>
        <w:jc w:val="center"/>
        <w:outlineLvl w:val="0"/>
        <w:rPr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sz w:val="32"/>
          <w:u w:val="single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hanging="0"/>
        <w:jc w:val="left"/>
        <w:rPr>
          <w:sz w:val="32"/>
          <w:szCs w:val="32"/>
        </w:rPr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jc w:val="left"/>
        <w:rPr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12"/>
          <w:szCs w:val="1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Где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c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-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Если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можно увеличить на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а на все обратных — уменьшить на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При этом поток в сети возрастет на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Где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c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-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LibreOffice/7.0.1.2$Windows_x86 LibreOffice_project/7cbcfc562f6eb6708b5ff7d7397325de9e764452</Application>
  <Pages>3</Pages>
  <Words>324</Words>
  <Characters>1901</Characters>
  <CharactersWithSpaces>2205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2021-05-05T13:09:25Z</dcterms:modified>
  <cp:revision>5</cp:revision>
  <dc:subject/>
  <dc:title/>
</cp:coreProperties>
</file>