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3"/>
        <w:gridCol w:w="8482"/>
      </w:tblGrid>
      <w:tr>
        <w:trPr/>
        <w:tc>
          <w:tcPr>
            <w:tcW w:w="140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домашне</w:t>
            </w:r>
            <w:r>
              <w:rPr>
                <w:rFonts w:eastAsia="NSimSun" w:cs="Arial" w:ascii="Times New Roman" w:hAnsi="Times New Roman"/>
                <w:b/>
                <w:color w:val="auto"/>
                <w:kern w:val="2"/>
                <w:sz w:val="28"/>
                <w:szCs w:val="28"/>
                <w:highlight w:val="white"/>
                <w:lang w:val="ru-RU" w:eastAsia="zh-CN" w:bidi="hi-IN"/>
              </w:rPr>
              <w:t>му заданию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70205" cy="2032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72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 xml:space="preserve">Сравнительный анализ характеристик автомобилей для </w:t>
      </w:r>
      <w:r>
        <w:rPr>
          <w:rFonts w:eastAsia="NSimSun" w:cs="Arial" w:ascii="Times New Roman" w:hAnsi="Times New Roman"/>
          <w:color w:val="auto"/>
          <w:kern w:val="2"/>
          <w:sz w:val="32"/>
          <w:szCs w:val="32"/>
          <w:highlight w:val="white"/>
          <w:u w:val="single"/>
          <w:lang w:val="ru-RU" w:eastAsia="zh-CN" w:bidi="hi-IN"/>
        </w:rPr>
        <w:t>представителей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 xml:space="preserve"> среднего класса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Научная организация инженерного труда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5"/>
        <w:gridCol w:w="1839"/>
        <w:gridCol w:w="1823"/>
        <w:gridCol w:w="2201"/>
        <w:gridCol w:w="2161"/>
      </w:tblGrid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sectPr>
      <w:type w:val="nextPage"/>
      <w:pgSz w:w="11906" w:h="16838"/>
      <w:pgMar w:left="1134" w:right="1134" w:header="0" w:top="1134" w:footer="0" w:bottom="16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1</Pages>
  <Words>81</Words>
  <Characters>659</Characters>
  <CharactersWithSpaces>718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2021-05-31T15:52:51Z</dcterms:created>
  <dc:creator/>
  <dc:description/>
  <dc:language>ru-RU</dc:language>
  <cp:lastModifiedBy/>
  <dcterms:modified xsi:type="dcterms:W3CDTF">2021-05-31T15:53:32Z</dcterms:modified>
  <cp:revision>1</cp:revision>
  <dc:subject/>
  <dc:title/>
</cp:coreProperties>
</file>