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домашней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jc w:val="both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</w:rPr>
        <w:t>Исследование характеристик и параметров ТТЛ-ключа со сложным инвертором</w:t>
      </w:r>
    </w:p>
    <w:p>
      <w:pPr>
        <w:pStyle w:val="LOnormal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Электроника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i/>
          <w:i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вариант 1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240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1957070</wp:posOffset>
            </wp:positionV>
            <wp:extent cx="6120130" cy="52038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Исходные данные</w:t>
      </w:r>
    </w:p>
    <w:p>
      <w:pPr>
        <w:pStyle w:val="LO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Исходная схема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нумерация резисторов для удобства изменена</w:t>
      </w:r>
      <w:r>
        <w:rPr>
          <w:sz w:val="28"/>
          <w:szCs w:val="28"/>
          <w:lang w:val="en-US"/>
        </w:rPr>
        <w:t>)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  <w:t>Рассчитаем параметры транзисторов</w:t>
      </w:r>
    </w:p>
    <w:p>
      <w:pPr>
        <w:pStyle w:val="LOnormal"/>
        <w:jc w:val="left"/>
        <w:rPr>
          <w:sz w:val="24"/>
          <w:szCs w:val="24"/>
        </w:rPr>
      </w:pPr>
      <w:r>
        <w:rPr>
          <w:rFonts w:eastAsia="NSimSun" w:cs="Arial" w:ascii="Liberation Serif" w:hAnsi="Liberation Serif"/>
          <w:sz w:val="28"/>
          <w:szCs w:val="28"/>
          <w:lang w:val="ru-RU"/>
        </w:rPr>
        <w:t>τ</w:t>
      </w:r>
      <w:r>
        <w:rPr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 / (2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eastAsia="NSimSun" w:cs="Arial"/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>) = 1 / (2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*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800 * 10</w:t>
      </w:r>
      <w:r>
        <w:rPr>
          <w:rFonts w:eastAsia="NSimSun" w:cs="Arial"/>
          <w:sz w:val="28"/>
          <w:szCs w:val="28"/>
          <w:vertAlign w:val="superscript"/>
          <w:lang w:val="en-US"/>
        </w:rPr>
        <w:t>6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0.20e-9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4"/>
          <w:szCs w:val="24"/>
        </w:rPr>
      </w:pP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 w:ascii="Liberation Serif" w:hAnsi="Liberation Serif"/>
          <w:sz w:val="28"/>
          <w:szCs w:val="28"/>
          <w:vertAlign w:val="subscript"/>
          <w:lang w:val="en-US"/>
        </w:rPr>
        <w:t xml:space="preserve">R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= (3/20)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a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(B+1) =  (3/20) * 0.20e-9 * 201 = 6.01e-9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136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sz w:val="24"/>
          <w:szCs w:val="24"/>
        </w:rPr>
      </w:pPr>
      <w:r>
        <w:rPr>
          <w:rFonts w:eastAsia="NSimSun" w:cs="Arial"/>
          <w:position w:val="0"/>
          <w:sz w:val="40"/>
          <w:sz w:val="40"/>
          <w:szCs w:val="40"/>
          <w:vertAlign w:val="baseline"/>
          <w:lang w:val="ru-RU"/>
        </w:rPr>
        <w:t>Часть 1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 xml:space="preserve">Мощность , рассеиваемая во включенном состоянии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=P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VT3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(U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+2∗U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+(U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= (E−2∗U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)/ R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sz w:val="28"/>
          <w:szCs w:val="28"/>
          <w:lang w:val="ru-RU"/>
        </w:rPr>
        <w:t>=2,9/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= (E−U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  <w:lang w:val="ru-RU"/>
        </w:rPr>
        <w:t>=4/ 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;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= (U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4 </w:t>
      </w:r>
      <w:r>
        <w:rPr>
          <w:sz w:val="28"/>
          <w:szCs w:val="28"/>
          <w:lang w:val="ru-RU"/>
        </w:rPr>
        <w:t>=0,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/R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1 </w:t>
      </w:r>
      <w:r>
        <w:rPr>
          <w:sz w:val="28"/>
          <w:szCs w:val="28"/>
        </w:rPr>
        <w:t>=14,5/R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+20/R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+0,28/R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Мощность , рассеиваемая в выключенном состоянии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=P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+U</w:t>
      </w:r>
      <w:r>
        <w:rPr>
          <w:sz w:val="28"/>
          <w:szCs w:val="28"/>
          <w:vertAlign w:val="subscript"/>
        </w:rPr>
        <w:t>бэ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+(U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+U</w:t>
      </w:r>
      <w:r>
        <w:rPr>
          <w:sz w:val="28"/>
          <w:szCs w:val="28"/>
          <w:vertAlign w:val="subscript"/>
        </w:rPr>
        <w:t>кэ</w:t>
      </w:r>
      <w:r>
        <w:rPr>
          <w:sz w:val="28"/>
          <w:szCs w:val="28"/>
        </w:rPr>
        <w:t>)∗I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R1 </w:t>
      </w:r>
      <w:r>
        <w:rPr>
          <w:sz w:val="28"/>
          <w:szCs w:val="28"/>
        </w:rPr>
        <w:t>=4,3/R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R5 </w:t>
      </w:r>
      <w:r>
        <w:rPr>
          <w:sz w:val="28"/>
          <w:szCs w:val="28"/>
        </w:rPr>
        <w:t>=0,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=21,5/R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1,19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По условию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=2,5; 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=1,6;  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; 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5 </w:t>
      </w:r>
      <w:r>
        <w:rPr>
          <w:sz w:val="28"/>
          <w:szCs w:val="28"/>
        </w:rPr>
        <w:t xml:space="preserve">=(20...40);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30R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position w:val="0"/>
          <w:sz w:val="28"/>
          <w:sz w:val="28"/>
          <w:szCs w:val="28"/>
          <w:vertAlign w:val="baseline"/>
          <w:lang w:val="ru-RU"/>
        </w:rPr>
        <w:t>тогда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=14,5/R</w:t>
      </w:r>
      <w:r>
        <w:rPr>
          <w:sz w:val="28"/>
          <w:szCs w:val="28"/>
          <w:vertAlign w:val="sub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>+20/R</w:t>
      </w:r>
      <w:r>
        <w:rPr>
          <w:sz w:val="28"/>
          <w:szCs w:val="28"/>
          <w:vertAlign w:val="subscript"/>
          <w:lang w:val="ru-RU"/>
        </w:rPr>
        <w:t>2</w:t>
      </w:r>
      <w:r>
        <w:rPr>
          <w:position w:val="0"/>
          <w:sz w:val="28"/>
          <w:sz w:val="28"/>
          <w:szCs w:val="28"/>
          <w:vertAlign w:val="baseline"/>
          <w:lang w:val="ru-RU"/>
        </w:rPr>
        <w:t>+0,28/R</w:t>
      </w:r>
      <w:r>
        <w:rPr>
          <w:sz w:val="28"/>
          <w:szCs w:val="28"/>
          <w:vertAlign w:val="subscript"/>
          <w:lang w:val="ru-RU"/>
        </w:rPr>
        <w:t>4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22.5/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потр 0 </w:t>
      </w:r>
      <w:r>
        <w:rPr>
          <w:position w:val="0"/>
          <w:sz w:val="28"/>
          <w:sz w:val="28"/>
          <w:szCs w:val="28"/>
          <w:vertAlign w:val="baseline"/>
          <w:lang w:val="en-US"/>
        </w:rPr>
        <w:t>=21,5/R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1,19</w:t>
      </w:r>
      <w:r>
        <w:rPr>
          <w:position w:val="0"/>
          <w:sz w:val="28"/>
          <w:sz w:val="28"/>
          <w:szCs w:val="28"/>
          <w:vertAlign w:val="baseline"/>
          <w:lang w:val="en-US"/>
        </w:rPr>
        <w:t>/R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57.2/R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;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ru-RU"/>
        </w:rPr>
        <w:t>ср потр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½ (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+ 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</w:t>
      </w:r>
      <w:r>
        <w:rPr>
          <w:sz w:val="28"/>
          <w:szCs w:val="28"/>
          <w:vertAlign w:val="sub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)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39.85/R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0.005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Вт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Отсюда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sz w:val="24"/>
          <w:szCs w:val="24"/>
        </w:rPr>
      </w:pPr>
      <w:r>
        <w:rPr>
          <w:lang w:val="ru-RU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2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логической «1»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323850</wp:posOffset>
            </wp:positionH>
            <wp:positionV relativeFrom="paragraph">
              <wp:posOffset>116205</wp:posOffset>
            </wp:positionV>
            <wp:extent cx="5365750" cy="406908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м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«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>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423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sz w:val="24"/>
          <w:szCs w:val="24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3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Передаточная характеристика ключа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LibreOffice/7.0.1.2$Windows_x86 LibreOffice_project/7cbcfc562f6eb6708b5ff7d7397325de9e764452</Application>
  <Pages>5</Pages>
  <Words>270</Words>
  <Characters>1648</Characters>
  <CharactersWithSpaces>1883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2021-05-15T12:52:23Z</dcterms:created>
  <dc:creator/>
  <dc:description/>
  <dc:language>ru-RU</dc:language>
  <cp:lastModifiedBy/>
  <dcterms:modified xsi:type="dcterms:W3CDTF">2021-05-15T17:32:51Z</dcterms:modified>
  <cp:revision>9</cp:revision>
  <dc:subject/>
  <dc:title/>
</cp:coreProperties>
</file>