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14.wmf" ContentType="image/x-wmf"/>
  <Override PartName="/word/media/image3.png" ContentType="image/png"/>
  <Override PartName="/word/media/image2.png" ContentType="image/png"/>
  <Override PartName="/word/media/image15.wmf" ContentType="image/x-wmf"/>
  <Override PartName="/word/media/image4.png" ContentType="image/png"/>
  <Override PartName="/word/media/image16.wmf" ContentType="image/x-wmf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0.wmf" ContentType="image/x-wmf"/>
  <Override PartName="/word/media/image10.wmf" ContentType="image/x-wmf"/>
  <Override PartName="/word/media/image11.wmf" ContentType="image/x-wmf"/>
  <Override PartName="/word/media/image12.png" ContentType="image/png"/>
  <Override PartName="/word/media/image13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32.wmf" ContentType="image/x-wmf"/>
  <Override PartName="/word/media/image21.png" ContentType="image/png"/>
  <Override PartName="/word/media/image22.png" ContentType="image/png"/>
  <Override PartName="/word/media/image34.wmf" ContentType="image/x-wmf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wmf" ContentType="image/x-wmf"/>
  <Override PartName="/word/media/image28.wmf" ContentType="image/x-wmf"/>
  <Override PartName="/word/media/image29.png" ContentType="image/png"/>
  <Override PartName="/word/media/image31.wmf" ContentType="image/x-wmf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35"/>
        <w:ind w:left="2860" w:right="340" w:hanging="0"/>
        <w:jc w:val="center"/>
        <w:rPr>
          <w:rFonts w:ascii="Times New Roman" w:hAnsi="Times New Roman" w:eastAsia="Times New Roman"/>
          <w:b/>
          <w:b/>
          <w:sz w:val="24"/>
        </w:rPr>
      </w:pPr>
      <w:bookmarkStart w:id="0" w:name="page1"/>
      <w:bookmarkEnd w:id="0"/>
      <w:r>
        <w:rPr>
          <w:rFonts w:eastAsia="Times New Roman" w:ascii="Times New Roman" w:hAnsi="Times New Roman"/>
          <w:b/>
          <w:sz w:val="24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  <w:drawing>
          <wp:anchor behindDoc="1" distT="0" distB="0" distL="0" distR="0" simplePos="0" locked="0" layoutInCell="0" allowOverlap="1" relativeHeight="32">
            <wp:simplePos x="0" y="0"/>
            <wp:positionH relativeFrom="column">
              <wp:posOffset>53340</wp:posOffset>
            </wp:positionH>
            <wp:positionV relativeFrom="paragraph">
              <wp:posOffset>-315595</wp:posOffset>
            </wp:positionV>
            <wp:extent cx="733425" cy="828675"/>
            <wp:effectExtent l="0" t="0" r="0" b="0"/>
            <wp:wrapNone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0"/>
        <w:ind w:left="2240" w:hanging="0"/>
        <w:jc w:val="center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b/>
          <w:sz w:val="24"/>
        </w:rPr>
        <w:t>«Московский государственный технический университет</w:t>
      </w:r>
    </w:p>
    <w:p>
      <w:pPr>
        <w:pStyle w:val="Normal"/>
        <w:spacing w:lineRule="atLeast" w:line="0"/>
        <w:ind w:left="2240" w:hanging="0"/>
        <w:jc w:val="center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b/>
          <w:sz w:val="24"/>
        </w:rPr>
        <w:t>имени Н.Э. Баумана</w:t>
      </w:r>
    </w:p>
    <w:p>
      <w:pPr>
        <w:pStyle w:val="Normal"/>
        <w:numPr>
          <w:ilvl w:val="0"/>
          <w:numId w:val="0"/>
        </w:numPr>
        <w:spacing w:lineRule="auto" w:line="237"/>
        <w:ind w:left="2240" w:hanging="0"/>
        <w:jc w:val="center"/>
        <w:outlineLvl w:val="0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b/>
          <w:sz w:val="24"/>
        </w:rPr>
        <w:t>(национальный исследовательский университет)»</w:t>
      </w:r>
    </w:p>
    <w:p>
      <w:pPr>
        <w:pStyle w:val="Normal"/>
        <w:numPr>
          <w:ilvl w:val="0"/>
          <w:numId w:val="0"/>
        </w:numPr>
        <w:spacing w:lineRule="atLeast" w:line="0"/>
        <w:ind w:left="2240" w:hanging="0"/>
        <w:jc w:val="center"/>
        <w:outlineLvl w:val="0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b/>
          <w:sz w:val="24"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  <w:drawing>
          <wp:anchor behindDoc="1" distT="0" distB="0" distL="0" distR="0" simplePos="0" locked="0" layoutInCell="0" allowOverlap="1" relativeHeight="33">
            <wp:simplePos x="0" y="0"/>
            <wp:positionH relativeFrom="column">
              <wp:posOffset>-17780</wp:posOffset>
            </wp:positionH>
            <wp:positionV relativeFrom="paragraph">
              <wp:posOffset>238125</wp:posOffset>
            </wp:positionV>
            <wp:extent cx="6340475" cy="14605"/>
            <wp:effectExtent l="0" t="0" r="0" b="0"/>
            <wp:wrapNone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0" allowOverlap="1" relativeHeight="34">
            <wp:simplePos x="0" y="0"/>
            <wp:positionH relativeFrom="column">
              <wp:posOffset>-17780</wp:posOffset>
            </wp:positionH>
            <wp:positionV relativeFrom="paragraph">
              <wp:posOffset>190500</wp:posOffset>
            </wp:positionV>
            <wp:extent cx="6340475" cy="38100"/>
            <wp:effectExtent l="0" t="0" r="0" b="0"/>
            <wp:wrapNone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lineRule="atLeast" w:line="0"/>
        <w:outlineLvl w:val="0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sz w:val="24"/>
        </w:rPr>
        <w:t xml:space="preserve">ФАКУЛЬТЕТ </w:t>
      </w:r>
      <w:r>
        <w:rPr>
          <w:rFonts w:eastAsia="Times New Roman" w:ascii="Times New Roman" w:hAnsi="Times New Roman"/>
          <w:b/>
          <w:sz w:val="24"/>
        </w:rPr>
        <w:t>ИНФОРМАТИКА И СИСТЕМЫ УПРАВЛЕНИЯ</w:t>
      </w:r>
    </w:p>
    <w:p>
      <w:pPr>
        <w:pStyle w:val="Normal"/>
        <w:spacing w:lineRule="exact" w:line="275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numPr>
          <w:ilvl w:val="0"/>
          <w:numId w:val="0"/>
        </w:numPr>
        <w:spacing w:lineRule="atLeast" w:line="0"/>
        <w:outlineLvl w:val="0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sz w:val="24"/>
        </w:rPr>
        <w:t xml:space="preserve">КАФЕДРА </w:t>
      </w:r>
      <w:r>
        <w:rPr>
          <w:rFonts w:eastAsia="Times New Roman" w:ascii="Times New Roman" w:hAnsi="Times New Roman"/>
          <w:b/>
          <w:sz w:val="24"/>
        </w:rPr>
        <w:t>КОМПЬЮТЕРНЫЕ СИСТЕМЫ И СЕТИ</w:t>
      </w:r>
      <w:r>
        <w:rPr>
          <w:rFonts w:eastAsia="Times New Roman" w:ascii="Times New Roman" w:hAnsi="Times New Roman"/>
          <w:sz w:val="24"/>
        </w:rPr>
        <w:t xml:space="preserve"> </w:t>
      </w:r>
      <w:r>
        <w:rPr>
          <w:rFonts w:eastAsia="Times New Roman" w:ascii="Times New Roman" w:hAnsi="Times New Roman"/>
          <w:b/>
          <w:sz w:val="24"/>
        </w:rPr>
        <w:t>(ИУ6)</w:t>
      </w:r>
    </w:p>
    <w:p>
      <w:pPr>
        <w:pStyle w:val="Normal"/>
        <w:spacing w:lineRule="exact" w:line="279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numPr>
          <w:ilvl w:val="0"/>
          <w:numId w:val="0"/>
        </w:numPr>
        <w:spacing w:lineRule="atLeast" w:line="0"/>
        <w:outlineLvl w:val="0"/>
        <w:rPr>
          <w:rFonts w:ascii="Times New Roman" w:hAnsi="Times New Roman" w:eastAsia="Times New Roman"/>
          <w:b/>
          <w:b/>
          <w:sz w:val="24"/>
        </w:rPr>
      </w:pPr>
      <w:r>
        <w:rPr>
          <w:rFonts w:eastAsia="Times New Roman" w:ascii="Times New Roman" w:hAnsi="Times New Roman"/>
          <w:sz w:val="24"/>
        </w:rPr>
        <w:t xml:space="preserve">НАПРАВЛЕНИЕ ПОДГОТОВКИ  </w:t>
      </w:r>
      <w:r>
        <w:rPr>
          <w:rFonts w:eastAsia="Times New Roman" w:ascii="Times New Roman" w:hAnsi="Times New Roman"/>
          <w:b/>
          <w:sz w:val="24"/>
        </w:rPr>
        <w:t xml:space="preserve">09.03.03 </w:t>
      </w:r>
      <w:r>
        <w:rPr>
          <w:rFonts w:eastAsia="Times New Roman" w:ascii="Times New Roman" w:hAnsi="Times New Roman"/>
          <w:sz w:val="24"/>
        </w:rPr>
        <w:t xml:space="preserve"> </w:t>
      </w:r>
      <w:r>
        <w:rPr>
          <w:rFonts w:eastAsia="Times New Roman" w:ascii="Times New Roman" w:hAnsi="Times New Roman"/>
          <w:b/>
          <w:sz w:val="24"/>
        </w:rPr>
        <w:t>ПРИКЛАДНАЯ ИНФОРМАТИКА</w:t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atLeast" w:line="0"/>
        <w:ind w:left="4140" w:hanging="0"/>
        <w:rPr>
          <w:rFonts w:ascii="Times New Roman" w:hAnsi="Times New Roman" w:eastAsia="Times New Roman"/>
          <w:b/>
          <w:b/>
          <w:sz w:val="32"/>
        </w:rPr>
      </w:pPr>
      <w:r>
        <w:rPr>
          <w:rFonts w:eastAsia="Times New Roman" w:ascii="Times New Roman" w:hAnsi="Times New Roman"/>
          <w:b/>
          <w:sz w:val="32"/>
        </w:rPr>
      </w:r>
    </w:p>
    <w:p>
      <w:pPr>
        <w:pStyle w:val="Normal"/>
        <w:spacing w:lineRule="atLeast" w:line="0"/>
        <w:ind w:left="4140" w:hanging="0"/>
        <w:rPr>
          <w:rFonts w:ascii="Times New Roman" w:hAnsi="Times New Roman" w:eastAsia="Times New Roman"/>
          <w:b/>
          <w:b/>
          <w:sz w:val="32"/>
        </w:rPr>
      </w:pPr>
      <w:r>
        <w:rPr>
          <w:rFonts w:eastAsia="Times New Roman" w:ascii="Times New Roman" w:hAnsi="Times New Roman"/>
          <w:b/>
          <w:sz w:val="32"/>
        </w:rPr>
      </w:r>
    </w:p>
    <w:p>
      <w:pPr>
        <w:pStyle w:val="Normal"/>
        <w:spacing w:lineRule="atLeast" w:line="0"/>
        <w:ind w:left="4140" w:hanging="0"/>
        <w:rPr>
          <w:rFonts w:ascii="Times New Roman" w:hAnsi="Times New Roman" w:eastAsia="Times New Roman"/>
          <w:b/>
          <w:b/>
          <w:sz w:val="32"/>
        </w:rPr>
      </w:pPr>
      <w:r>
        <w:rPr>
          <w:rFonts w:eastAsia="Times New Roman" w:ascii="Times New Roman" w:hAnsi="Times New Roman"/>
          <w:b/>
          <w:sz w:val="32"/>
        </w:rPr>
      </w:r>
    </w:p>
    <w:p>
      <w:pPr>
        <w:pStyle w:val="Normal"/>
        <w:numPr>
          <w:ilvl w:val="0"/>
          <w:numId w:val="0"/>
        </w:numPr>
        <w:spacing w:lineRule="atLeast" w:line="0"/>
        <w:ind w:left="4140" w:hanging="0"/>
        <w:outlineLvl w:val="0"/>
        <w:rPr>
          <w:rFonts w:ascii="Times New Roman" w:hAnsi="Times New Roman" w:eastAsia="Times New Roman"/>
          <w:b/>
          <w:b/>
          <w:sz w:val="32"/>
        </w:rPr>
      </w:pPr>
      <w:r>
        <w:rPr>
          <w:rFonts w:eastAsia="Times New Roman" w:ascii="Times New Roman" w:hAnsi="Times New Roman"/>
          <w:b/>
          <w:sz w:val="32"/>
        </w:rPr>
        <w:t>ОТЧЕТ</w:t>
      </w:r>
    </w:p>
    <w:p>
      <w:pPr>
        <w:pStyle w:val="Normal"/>
        <w:spacing w:lineRule="exact" w:line="24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tabs>
          <w:tab w:val="clear" w:pos="708"/>
          <w:tab w:val="left" w:pos="6560" w:leader="none"/>
        </w:tabs>
        <w:spacing w:lineRule="atLeast" w:line="0"/>
        <w:ind w:left="2840" w:hanging="0"/>
        <w:rPr>
          <w:rFonts w:ascii="Times New Roman" w:hAnsi="Times New Roman" w:eastAsia="Times New Roman"/>
          <w:sz w:val="28"/>
        </w:rPr>
      </w:pPr>
      <w:r>
        <w:rPr>
          <w:rFonts w:eastAsia="Times New Roman" w:ascii="Times New Roman" w:hAnsi="Times New Roman"/>
          <w:b/>
          <w:sz w:val="28"/>
        </w:rPr>
        <w:t>по лабораторной работе №</w:t>
      </w:r>
      <w:r>
        <w:rPr>
          <w:rFonts w:eastAsia="Times New Roman" w:ascii="Times New Roman" w:hAnsi="Times New Roman"/>
        </w:rPr>
        <w:tab/>
      </w:r>
      <w:r>
        <w:rPr>
          <w:rFonts w:eastAsia="Times New Roman" w:ascii="Times New Roman" w:hAnsi="Times New Roman"/>
          <w:sz w:val="28"/>
          <w:szCs w:val="28"/>
        </w:rPr>
        <w:t>3</w:t>
      </w:r>
    </w:p>
    <w:p>
      <w:pPr>
        <w:pStyle w:val="Normal"/>
        <w:spacing w:lineRule="exact" w:line="2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  <mc:AlternateContent>
          <mc:Choice Requires="wps">
            <w:drawing>
              <wp:anchor behindDoc="1" distT="0" distB="0" distL="0" distR="0" simplePos="0" locked="0" layoutInCell="0" allowOverlap="1" relativeHeight="35" wp14:anchorId="63C6A245">
                <wp:simplePos x="0" y="0"/>
                <wp:positionH relativeFrom="column">
                  <wp:posOffset>4062730</wp:posOffset>
                </wp:positionH>
                <wp:positionV relativeFrom="paragraph">
                  <wp:posOffset>-15240</wp:posOffset>
                </wp:positionV>
                <wp:extent cx="362585" cy="635"/>
                <wp:effectExtent l="0" t="0" r="0" b="0"/>
                <wp:wrapNone/>
                <wp:docPr id="4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8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19.9pt,-1.2pt" to="348.35pt,-1.2pt" ID="Line 5" stroked="t" style="position:absolute" wp14:anchorId="63C6A245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spacing w:lineRule="exact" w:line="398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numPr>
          <w:ilvl w:val="0"/>
          <w:numId w:val="0"/>
        </w:numPr>
        <w:outlineLvl w:val="0"/>
        <w:rPr/>
      </w:pPr>
      <w:r>
        <w:rPr>
          <w:rFonts w:eastAsia="Times New Roman"/>
          <w:b/>
          <w:sz w:val="28"/>
        </w:rPr>
        <w:t xml:space="preserve">  </w:t>
      </w:r>
      <w:r>
        <w:rPr>
          <w:rFonts w:eastAsia="Times New Roman"/>
          <w:b/>
          <w:sz w:val="28"/>
        </w:rPr>
        <w:t>Название:</w:t>
      </w:r>
      <w:r>
        <w:rPr>
          <w:sz w:val="28"/>
          <w:szCs w:val="28"/>
        </w:rPr>
        <w:t xml:space="preserve"> </w:t>
      </w:r>
      <w:r>
        <w:rPr>
          <w:rFonts w:eastAsia="TimesNewRomanPSMT"/>
          <w:sz w:val="28"/>
          <w:szCs w:val="28"/>
          <w:u w:val="single"/>
          <w:lang w:eastAsia="en-US"/>
        </w:rPr>
        <w:t>Ключевой режим работы транзистора</w:t>
      </w:r>
    </w:p>
    <w:p>
      <w:pPr>
        <w:pStyle w:val="Normal"/>
        <w:spacing w:lineRule="exact" w:line="309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numPr>
          <w:ilvl w:val="0"/>
          <w:numId w:val="0"/>
        </w:numPr>
        <w:spacing w:lineRule="atLeast" w:line="0"/>
        <w:ind w:left="140" w:hanging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</w:rPr>
        <w:t xml:space="preserve">Дисциплина: </w:t>
      </w:r>
      <w:r>
        <w:rPr>
          <w:rFonts w:eastAsia="Times New Roman" w:cs="Times New Roman" w:ascii="Times New Roman" w:hAnsi="Times New Roman"/>
          <w:sz w:val="28"/>
          <w:u w:val="single"/>
        </w:rPr>
        <w:t>Электроника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620" w:type="dxa"/>
        <w:jc w:val="left"/>
        <w:tblInd w:w="2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0" w:noVBand="0" w:lastRow="0" w:firstColumn="0" w:lastColumn="0" w:noHBand="0" w:val="0000"/>
      </w:tblPr>
      <w:tblGrid>
        <w:gridCol w:w="1979"/>
        <w:gridCol w:w="1641"/>
        <w:gridCol w:w="1899"/>
        <w:gridCol w:w="2000"/>
        <w:gridCol w:w="160"/>
        <w:gridCol w:w="1940"/>
      </w:tblGrid>
      <w:tr>
        <w:trPr>
          <w:trHeight w:val="322" w:hRule="atLeast"/>
        </w:trPr>
        <w:tc>
          <w:tcPr>
            <w:tcW w:w="197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eastAsia="Times New Roman" w:ascii="Times New Roman" w:hAnsi="Times New Roman"/>
                <w:sz w:val="28"/>
              </w:rPr>
              <w:t>Студент</w:t>
            </w:r>
          </w:p>
        </w:tc>
        <w:tc>
          <w:tcPr>
            <w:tcW w:w="164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jc w:val="center"/>
              <w:rPr>
                <w:rFonts w:ascii="Times New Roman" w:hAnsi="Times New Roman" w:eastAsia="Times New Roman"/>
                <w:w w:val="98"/>
                <w:sz w:val="28"/>
              </w:rPr>
            </w:pPr>
            <w:r>
              <w:rPr>
                <w:rFonts w:eastAsia="Times New Roman" w:ascii="Times New Roman" w:hAnsi="Times New Roman"/>
                <w:w w:val="98"/>
                <w:sz w:val="28"/>
              </w:rPr>
              <w:t>ИУ6-42Б</w:t>
            </w:r>
          </w:p>
        </w:tc>
        <w:tc>
          <w:tcPr>
            <w:tcW w:w="189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200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16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194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jc w:val="center"/>
              <w:rPr>
                <w:rFonts w:ascii="Times New Roman" w:hAnsi="Times New Roman" w:eastAsia="Times New Roman" w:cs="Arial"/>
                <w:sz w:val="28"/>
                <w:szCs w:val="28"/>
                <w:lang w:eastAsia="ru-RU"/>
              </w:rPr>
            </w:pPr>
            <w:r>
              <w:rPr>
                <w:rFonts w:eastAsia="Times New Roman" w:cs="Arial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5" w:hRule="atLeast"/>
        </w:trPr>
        <w:tc>
          <w:tcPr>
            <w:tcW w:w="197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  <w:tc>
          <w:tcPr>
            <w:tcW w:w="1641" w:type="dxa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  <w:tc>
          <w:tcPr>
            <w:tcW w:w="189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  <w:tc>
          <w:tcPr>
            <w:tcW w:w="2000" w:type="dxa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  <w:tc>
          <w:tcPr>
            <w:tcW w:w="16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"/>
              </w:rPr>
            </w:pPr>
            <w:r>
              <w:rPr>
                <w:rFonts w:eastAsia="Times New Roman" w:ascii="Times New Roman" w:hAnsi="Times New Roman"/>
                <w:sz w:val="2"/>
              </w:rPr>
            </w:r>
          </w:p>
        </w:tc>
      </w:tr>
      <w:tr>
        <w:trPr>
          <w:trHeight w:val="222" w:hRule="atLeast"/>
        </w:trPr>
        <w:tc>
          <w:tcPr>
            <w:tcW w:w="197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164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exact" w:line="222"/>
              <w:jc w:val="center"/>
              <w:rPr>
                <w:rFonts w:ascii="Times New Roman" w:hAnsi="Times New Roman" w:eastAsia="Times New Roman"/>
                <w:w w:val="98"/>
              </w:rPr>
            </w:pPr>
            <w:r>
              <w:rPr>
                <w:rFonts w:eastAsia="Times New Roman" w:ascii="Times New Roman" w:hAnsi="Times New Roman"/>
                <w:w w:val="98"/>
              </w:rPr>
              <w:t>(Группа)</w:t>
            </w:r>
          </w:p>
        </w:tc>
        <w:tc>
          <w:tcPr>
            <w:tcW w:w="189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200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exact" w:line="222"/>
              <w:ind w:left="320" w:hanging="0"/>
              <w:rPr>
                <w:rFonts w:ascii="Times New Roman" w:hAnsi="Times New Roman" w:eastAsia="Times New Roman"/>
              </w:rPr>
            </w:pPr>
            <w:r>
              <w:rPr>
                <w:rFonts w:eastAsia="Times New Roman" w:ascii="Times New Roman" w:hAnsi="Times New Roman"/>
              </w:rPr>
              <w:t>(Подпись, дата)</w:t>
            </w:r>
          </w:p>
        </w:tc>
        <w:tc>
          <w:tcPr>
            <w:tcW w:w="16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194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exact" w:line="222"/>
              <w:jc w:val="center"/>
              <w:rPr>
                <w:rFonts w:ascii="Times New Roman" w:hAnsi="Times New Roman" w:eastAsia="Times New Roman"/>
                <w:w w:val="99"/>
              </w:rPr>
            </w:pPr>
            <w:r>
              <w:rPr>
                <w:rFonts w:eastAsia="Times New Roman" w:ascii="Times New Roman" w:hAnsi="Times New Roman"/>
                <w:w w:val="99"/>
              </w:rPr>
              <w:t>(И.О. Фамилия)</w:t>
            </w:r>
          </w:p>
        </w:tc>
      </w:tr>
      <w:tr>
        <w:trPr>
          <w:trHeight w:val="753" w:hRule="atLeast"/>
        </w:trPr>
        <w:tc>
          <w:tcPr>
            <w:tcW w:w="197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eastAsia="Times New Roman" w:ascii="Times New Roman" w:hAnsi="Times New Roman"/>
                <w:sz w:val="28"/>
              </w:rPr>
              <w:t>Преподаватель</w:t>
            </w:r>
          </w:p>
        </w:tc>
        <w:tc>
          <w:tcPr>
            <w:tcW w:w="164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189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2000" w:type="dxa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16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eastAsia="Times New Roman" w:ascii="Times New Roman" w:hAnsi="Times New Roman"/>
                <w:sz w:val="24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jc w:val="center"/>
              <w:rPr>
                <w:rFonts w:ascii="Times New Roman" w:hAnsi="Times New Roman" w:eastAsia="Times New Roman"/>
                <w:sz w:val="28"/>
              </w:rPr>
            </w:pPr>
            <w:r>
              <w:rPr>
                <w:rFonts w:eastAsia="Times New Roman" w:ascii="Times New Roman" w:hAnsi="Times New Roman"/>
                <w:sz w:val="28"/>
              </w:rPr>
              <w:t>Н. В. Аксенов</w:t>
            </w:r>
          </w:p>
        </w:tc>
      </w:tr>
      <w:tr>
        <w:trPr>
          <w:trHeight w:val="227" w:hRule="atLeast"/>
        </w:trPr>
        <w:tc>
          <w:tcPr>
            <w:tcW w:w="197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164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1899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200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exact" w:line="227"/>
              <w:ind w:left="320" w:hanging="0"/>
              <w:rPr>
                <w:rFonts w:ascii="Times New Roman" w:hAnsi="Times New Roman" w:eastAsia="Times New Roman"/>
              </w:rPr>
            </w:pPr>
            <w:r>
              <w:rPr>
                <w:rFonts w:eastAsia="Times New Roman" w:ascii="Times New Roman" w:hAnsi="Times New Roman"/>
              </w:rPr>
              <w:t>(Подпись, дата)</w:t>
            </w:r>
          </w:p>
        </w:tc>
        <w:tc>
          <w:tcPr>
            <w:tcW w:w="16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tLeast" w:line="0"/>
              <w:rPr>
                <w:rFonts w:ascii="Times New Roman" w:hAnsi="Times New Roman" w:eastAsia="Times New Roman"/>
                <w:sz w:val="19"/>
              </w:rPr>
            </w:pPr>
            <w:r>
              <w:rPr>
                <w:rFonts w:eastAsia="Times New Roman" w:ascii="Times New Roman" w:hAnsi="Times New Roman"/>
                <w:sz w:val="19"/>
              </w:rPr>
            </w:r>
          </w:p>
        </w:tc>
        <w:tc>
          <w:tcPr>
            <w:tcW w:w="1940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exact" w:line="227"/>
              <w:jc w:val="center"/>
              <w:rPr>
                <w:rFonts w:ascii="Times New Roman" w:hAnsi="Times New Roman" w:eastAsia="Times New Roman"/>
                <w:w w:val="99"/>
              </w:rPr>
            </w:pPr>
            <w:r>
              <w:rPr>
                <w:rFonts w:eastAsia="Times New Roman" w:ascii="Times New Roman" w:hAnsi="Times New Roman"/>
                <w:w w:val="99"/>
              </w:rPr>
              <w:t>(И.О. Фамилия)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spacing w:lineRule="atLeast" w:line="0"/>
        <w:ind w:right="-79" w:hanging="0"/>
        <w:jc w:val="center"/>
        <w:outlineLvl w:val="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  <w:t>Москва, 202</w:t>
      </w:r>
      <w:r>
        <w:rPr>
          <w:rFonts w:eastAsia="Times New Roman" w:ascii="Times New Roman" w:hAnsi="Times New Roman"/>
          <w:sz w:val="24"/>
        </w:rPr>
        <w:t>1</w:t>
      </w:r>
    </w:p>
    <w:p>
      <w:pPr>
        <w:pStyle w:val="Normal"/>
        <w:shd w:val="clear" w:color="auto" w:fill="FFFFFF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 New Roman" w:cs="Times New Roman" w:ascii="Calibri" w:hAnsi="Calibri"/>
          <w:b w:val="false"/>
          <w:bCs w:val="false"/>
          <w:sz w:val="28"/>
          <w:szCs w:val="28"/>
        </w:rPr>
        <w:t xml:space="preserve">Цель: </w:t>
      </w:r>
      <w:r>
        <w:rPr>
          <w:rFonts w:eastAsia="Times New Roman" w:cs="Times New Roman" w:ascii="Calibri" w:hAnsi="Calibri"/>
          <w:color w:val="000000"/>
          <w:sz w:val="28"/>
          <w:szCs w:val="28"/>
        </w:rPr>
        <w:t xml:space="preserve">исследовать статические режимы и переходные процессы в схеме простого транзисторного ключа. </w:t>
      </w:r>
    </w:p>
    <w:p>
      <w:pPr>
        <w:pStyle w:val="Normal"/>
        <w:shd w:val="clear" w:color="auto" w:fill="FFFFFF"/>
        <w:spacing w:lineRule="auto" w:line="276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Нахождение «граничной точки»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16475" cy="2774950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Исходная схема</w:t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Чтобы найти "граничную точку",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н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об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х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одимо увелич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ить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ток коллектора, уменьшив значение сопротивления.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Найдем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такое значение сопротивления, чтобы соблюдалось соотношение: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329055" cy="513080"/>
            <wp:effectExtent l="0" t="0" r="0" b="0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075940" cy="2386330"/>
            <wp:effectExtent l="0" t="0" r="0" b="0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Упрощенная схема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С помощью метода контурных токов вычислим ток базы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б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02305" cy="485140"/>
            <wp:effectExtent l="0" t="0" r="0" b="0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96515" cy="534035"/>
            <wp:effectExtent l="0" t="0" r="0" b="0"/>
            <wp:docPr id="9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193165" cy="355600"/>
            <wp:effectExtent l="0" t="0" r="0" b="0"/>
            <wp:docPr id="1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Подставим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параметры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в исходную схему и проведем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DC-sweep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анализ, чтобы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найти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граничную точку: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29175" cy="2303780"/>
            <wp:effectExtent l="0" t="0" r="0" b="0"/>
            <wp:docPr id="1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Передаточная характеристика</w:t>
      </w:r>
    </w:p>
    <w:p>
      <w:pPr>
        <w:pStyle w:val="Normal"/>
        <w:spacing w:lineRule="auto" w:line="276"/>
        <w:ind w:hanging="0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val="en-US"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71720" cy="2383790"/>
            <wp:effectExtent l="0" t="0" r="0" b="0"/>
            <wp:docPr id="1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График зависимости ток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val="ru-RU" w:eastAsia="en-US"/>
        </w:rPr>
        <w:t>ов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базы и тока эмиттера от входного напряжения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Из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графика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можно найти Iб = 58.2 мкА, Iк = 6,9 мА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B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=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Ik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/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I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б = 6900 мка / 58.2 мка = 118.5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Исследование статического коэффициента усиления по току В</w:t>
      </w:r>
    </w:p>
    <w:p>
      <w:pPr>
        <w:pStyle w:val="Normal"/>
        <w:spacing w:lineRule="auto" w:line="276"/>
        <w:ind w:hanging="0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Для 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исследования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 схеме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необходимо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менять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Rк и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снимать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значения Jб, Jк и Uкэ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. Также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расчитываем коэффициент B = Jк/Jб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RU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RU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228975"/>
            <wp:effectExtent l="0" t="0" r="0" b="0"/>
            <wp:wrapSquare wrapText="largest"/>
            <wp:docPr id="1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статического коэффициента усиления по току В при различных Rк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rPr>
          <w:rFonts w:ascii="Calibri" w:hAnsi="Calibri"/>
          <w:sz w:val="28"/>
          <w:szCs w:val="28"/>
        </w:rPr>
      </w:pPr>
      <w:r>
        <w:rPr>
          <w:rFonts w:eastAsia="Times New Roman" w:cs="Times New Roman" w:ascii="Calibri" w:hAnsi="Calibri"/>
          <w:color w:val="000000"/>
          <w:sz w:val="28"/>
          <w:szCs w:val="28"/>
          <w:lang w:val="en-RU" w:eastAsia="en-GB"/>
        </w:rPr>
        <w:t>Исследование статического коэффициента усиления по току В при различных Rк</w:t>
      </w:r>
      <w:r>
        <w:rPr>
          <w:rFonts w:eastAsia="Times New Roman" w:cs="Times New Roman" w:ascii="Calibri" w:hAnsi="Calibri"/>
          <w:sz w:val="28"/>
          <w:szCs w:val="28"/>
          <w:lang w:eastAsia="en-GB"/>
        </w:rPr>
        <w:t>: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66"/>
        <w:gridCol w:w="1876"/>
        <w:gridCol w:w="1869"/>
        <w:gridCol w:w="1864"/>
        <w:gridCol w:w="1869"/>
      </w:tblGrid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>к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,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 xml:space="preserve"> Ом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U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кэ, мВ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б, мкА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к, мА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en-US" w:eastAsia="en-US" w:bidi="ar-SA"/>
              </w:rPr>
              <w:t>B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8849,0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5989,1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eastAsia="en-US" w:bidi="ar-SA"/>
              </w:rPr>
              <w:t>15,0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119,6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410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182,7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125,6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108,2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133,0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126,3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8,9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70,4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2000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102,2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127,4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4,4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34,6</w:t>
            </w:r>
          </w:p>
        </w:tc>
      </w:tr>
      <w:tr>
        <w:trPr/>
        <w:tc>
          <w:tcPr>
            <w:tcW w:w="186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5000</w:t>
            </w:r>
          </w:p>
        </w:tc>
        <w:tc>
          <w:tcPr>
            <w:tcW w:w="187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74,6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128,8</w:t>
            </w:r>
          </w:p>
        </w:tc>
        <w:tc>
          <w:tcPr>
            <w:tcW w:w="186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86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rFonts w:ascii="Calibri" w:hAnsi="Calibri" w:eastAsia="TimesNewRomanPSMT" w:cs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color w:val="000000" w:themeColor="text1"/>
                <w:kern w:val="0"/>
                <w:sz w:val="28"/>
                <w:szCs w:val="28"/>
                <w:lang w:val="ru-RU" w:eastAsia="en-US" w:bidi="ar-SA"/>
              </w:rPr>
              <w:t>13,9</w:t>
            </w:r>
          </w:p>
        </w:tc>
      </w:tr>
    </w:tbl>
    <w:p>
      <w:pPr>
        <w:pStyle w:val="NormalWeb"/>
        <w:spacing w:lineRule="auto" w:line="276" w:before="280" w:after="280"/>
        <w:ind w:firstLine="708"/>
        <w:jc w:val="both"/>
        <w:rPr/>
      </w:pP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При значении Rк от 10 Ом до 200 Ом каскад находится в активном режиме, так как коэффициент B еще соответсвует величине B в параметрах транзистора.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При увеличении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 xml:space="preserve"> Rk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 xml:space="preserve"> от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200 Ом 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до 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400 Ом произошел переход границы зоны насыщения, после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чео</w:t>
      </w:r>
      <w:r>
        <w:rPr>
          <w:rFonts w:eastAsia="TimesNewRomanPSMT" w:ascii="Calibri" w:hAnsi="Calibri"/>
          <w:sz w:val="28"/>
          <w:szCs w:val="28"/>
          <w:lang w:val="ru-RU" w:eastAsia="en-US"/>
        </w:rPr>
        <w:t xml:space="preserve"> напряжение на выходе </w:t>
      </w:r>
      <w:r>
        <w:rPr>
          <w:rFonts w:eastAsia="TimesNewRomanPSMT" w:cs="Times New Roman" w:ascii="Calibri" w:hAnsi="Calibri"/>
          <w:sz w:val="28"/>
          <w:szCs w:val="28"/>
          <w:lang w:val="ru-RU" w:eastAsia="en-US"/>
        </w:rPr>
        <w:t>стало резко падать</w:t>
      </w:r>
      <w:r>
        <w:rPr>
          <w:rFonts w:eastAsia="TimesNewRomanPSMT" w:ascii="Calibri" w:hAnsi="Calibri"/>
          <w:sz w:val="28"/>
          <w:szCs w:val="28"/>
          <w:lang w:val="ru-RU" w:eastAsia="en-US"/>
        </w:rPr>
        <w:t>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Исследование динамических характеристик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Рассмотрим изменение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при различном входном периодическом напряжении. Частоту генератора примем равной 1 КГц, сигнал прямоугольный.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704715" cy="2727325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Рассматриваемая схема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933950" cy="2647315"/>
            <wp:effectExtent l="0" t="0" r="0" b="0"/>
            <wp:docPr id="1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261485" cy="271145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03775" cy="2105025"/>
            <wp:effectExtent l="0" t="0" r="0" b="0"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Измерение времени ( Rk = 2200 Ом)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Из рисунков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выше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можно найти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ф,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рас, </w:t>
      </w:r>
      <w:r>
        <w:rPr>
          <w:rFonts w:eastAsia="TimesNewRomanPSMT" w:cs="Times New Roman" w:ascii="Calibri" w:hAnsi="Calibri"/>
          <w:sz w:val="28"/>
          <w:szCs w:val="28"/>
          <w:lang w:val="en-US" w:eastAsia="en-US"/>
        </w:rPr>
        <w:t>t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с. Найдем эти величины для разных значений амплитуды входного сигнала.</w:t>
      </w:r>
    </w:p>
    <w:p>
      <w:pPr>
        <w:pStyle w:val="Normal"/>
        <w:spacing w:lineRule="auto" w:line="276"/>
        <w:ind w:firstLine="709"/>
        <w:jc w:val="both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</w:p>
    <w:tbl>
      <w:tblPr>
        <w:tblStyle w:val="TableGrid"/>
        <w:tblW w:w="765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4"/>
        <w:gridCol w:w="1914"/>
        <w:gridCol w:w="1914"/>
        <w:gridCol w:w="1913"/>
      </w:tblGrid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ф, мкс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рас, мкс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с, мкс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5,2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4,5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2,0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12.5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2,4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15,0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3,5</w:t>
            </w:r>
          </w:p>
        </w:tc>
      </w:tr>
      <w:tr>
        <w:trPr/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1,8</w:t>
            </w:r>
          </w:p>
        </w:tc>
        <w:tc>
          <w:tcPr>
            <w:tcW w:w="191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19,1</w:t>
            </w:r>
          </w:p>
        </w:tc>
        <w:tc>
          <w:tcPr>
            <w:tcW w:w="1913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3,4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Из таблицы видно, что при увеличении амплитуды входного сигнала время рассеивания электронов увеличивается и длительность среза увеличиваются, а длительность фронта уменьшается.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b/>
          <w:bCs/>
          <w:sz w:val="28"/>
          <w:szCs w:val="28"/>
          <w:lang w:eastAsia="en-US"/>
        </w:rPr>
        <w:t>Аналитический расчет</w:t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936365" cy="1055370"/>
            <wp:effectExtent l="0" t="0" r="0" b="0"/>
            <wp:docPr id="1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053715" cy="379730"/>
            <wp:effectExtent l="0" t="0" r="0" b="0"/>
            <wp:docPr id="1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30475" cy="638175"/>
            <wp:effectExtent l="0" t="0" r="0" b="0"/>
            <wp:docPr id="20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29840" cy="493395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2529205" cy="551815"/>
            <wp:effectExtent l="0" t="0" r="0" b="0"/>
            <wp:docPr id="2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20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1320165" cy="480695"/>
            <wp:effectExtent l="0" t="0" r="0" b="0"/>
            <wp:docPr id="2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50565" cy="638175"/>
            <wp:effectExtent l="0" t="0" r="0" b="0"/>
            <wp:docPr id="2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49295" cy="522605"/>
            <wp:effectExtent l="0" t="0" r="0" b="0"/>
            <wp:docPr id="2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3248025" cy="678180"/>
            <wp:effectExtent l="0" t="0" r="0" b="0"/>
            <wp:docPr id="2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/>
          <w:sz w:val="28"/>
          <w:szCs w:val="28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Сравнительная таблица</w:t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11"/>
        <w:gridCol w:w="1854"/>
        <w:gridCol w:w="1859"/>
        <w:gridCol w:w="1862"/>
        <w:gridCol w:w="1858"/>
      </w:tblGrid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Ег, В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Замеренные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2,9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10,7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2,7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Вычисленные значения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1,6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22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3,3</w:t>
            </w:r>
          </w:p>
        </w:tc>
      </w:tr>
      <w:tr>
        <w:trPr/>
        <w:tc>
          <w:tcPr>
            <w:tcW w:w="1911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Разница</w:t>
            </w:r>
          </w:p>
        </w:tc>
        <w:tc>
          <w:tcPr>
            <w:tcW w:w="1854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0</w:t>
            </w:r>
          </w:p>
        </w:tc>
        <w:tc>
          <w:tcPr>
            <w:tcW w:w="185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1,3</w:t>
            </w:r>
          </w:p>
        </w:tc>
        <w:tc>
          <w:tcPr>
            <w:tcW w:w="186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11,3</w:t>
            </w:r>
          </w:p>
        </w:tc>
        <w:tc>
          <w:tcPr>
            <w:tcW w:w="1858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0,6</w:t>
            </w:r>
          </w:p>
        </w:tc>
      </w:tr>
    </w:tbl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b/>
          <w:b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Влияние форсирующего конденсатора на параметры переходных процессов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bCs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827905" cy="2881630"/>
            <wp:effectExtent l="0" t="0" r="0" b="0"/>
            <wp:docPr id="27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влияния форсирующего конденсатора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570855" cy="2434590"/>
            <wp:effectExtent l="0" t="0" r="0" b="0"/>
            <wp:docPr id="28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20pF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428615" cy="1765300"/>
            <wp:effectExtent l="0" t="0" r="0" b="0"/>
            <wp:docPr id="2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Влияние на динамические характеристики форсирующего конденсатора 40pF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Как видно, при увеличении форсирующей емкости уменьшается время длительности фронта и время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электронов.</w:t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Влияние ёмкостной нагрузки на параметры переходных процессов</w:t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172585" cy="2427605"/>
            <wp:effectExtent l="0" t="0" r="0" b="0"/>
            <wp:docPr id="30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влияния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емкостной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475605" cy="2265680"/>
            <wp:effectExtent l="0" t="0" r="0" b="0"/>
            <wp:docPr id="31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500pF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010150" cy="2006600"/>
            <wp:effectExtent l="0" t="0" r="0" b="0"/>
            <wp:docPr id="32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2nF</w:t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126990" cy="2019300"/>
            <wp:effectExtent l="0" t="0" r="0" b="0"/>
            <wp:docPr id="33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Влияние на динамические характеристики 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емкости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нагрузки 10nF</w:t>
      </w:r>
    </w:p>
    <w:p>
      <w:pPr>
        <w:pStyle w:val="Normal"/>
        <w:spacing w:lineRule="auto" w:line="276"/>
        <w:ind w:firstLine="709"/>
        <w:jc w:val="center"/>
        <w:rPr>
          <w:rFonts w:eastAsia="TimesNewRomanPSMT" w:cs="Times New Roman"/>
          <w:lang w:eastAsia="en-US"/>
        </w:rPr>
      </w:pPr>
      <w:r>
        <w:rPr>
          <w:rFonts w:ascii="Calibri" w:hAnsi="Calibri"/>
          <w:sz w:val="28"/>
          <w:szCs w:val="28"/>
        </w:rPr>
      </w:r>
    </w:p>
    <w:tbl>
      <w:tblPr>
        <w:tblStyle w:val="TableGrid"/>
        <w:tblW w:w="93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332"/>
        <w:gridCol w:w="2336"/>
        <w:gridCol w:w="2339"/>
        <w:gridCol w:w="2336"/>
      </w:tblGrid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 xml:space="preserve">С, 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p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F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ru-RU" w:eastAsia="en-US" w:bidi="ar-SA"/>
              </w:rPr>
              <w:t>тф, мкс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рас, мкс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t</w:t>
            </w: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eastAsia="en-US" w:bidi="ar-SA"/>
              </w:rPr>
              <w:t>с, мкс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0,5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3,4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7,5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3,7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2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5,0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7,1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9,4</w:t>
            </w:r>
          </w:p>
        </w:tc>
      </w:tr>
      <w:tr>
        <w:trPr/>
        <w:tc>
          <w:tcPr>
            <w:tcW w:w="233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10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10,3</w:t>
            </w:r>
          </w:p>
        </w:tc>
        <w:tc>
          <w:tcPr>
            <w:tcW w:w="2339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7,3</w:t>
            </w:r>
          </w:p>
        </w:tc>
        <w:tc>
          <w:tcPr>
            <w:tcW w:w="2336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both"/>
              <w:rPr>
                <w:rFonts w:ascii="Calibri" w:hAnsi="Calibri" w:eastAsia="TimesNewRomanPSMT" w:cs="Times New Roman"/>
                <w:kern w:val="0"/>
                <w:sz w:val="28"/>
                <w:szCs w:val="28"/>
                <w:lang w:val="en-US" w:eastAsia="en-US" w:bidi="ar-SA"/>
              </w:rPr>
            </w:pPr>
            <w:r>
              <w:rPr>
                <w:rFonts w:eastAsia="TimesNewRomanPSMT" w:cs="Times New Roman" w:ascii="Calibri" w:hAnsi="Calibri"/>
                <w:kern w:val="0"/>
                <w:sz w:val="28"/>
                <w:szCs w:val="28"/>
                <w:lang w:val="en-US" w:eastAsia="en-US" w:bidi="ar-SA"/>
              </w:rPr>
              <w:t>16,4</w:t>
            </w:r>
          </w:p>
        </w:tc>
      </w:tr>
    </w:tbl>
    <w:p>
      <w:pPr>
        <w:pStyle w:val="Normal"/>
        <w:spacing w:lineRule="auto" w:line="276"/>
        <w:ind w:firstLine="709"/>
        <w:rPr>
          <w:rFonts w:ascii="Calibri" w:hAnsi="Calibri" w:eastAsia="TimesNewRomanPSMT" w:cs="Times New Roman"/>
          <w:sz w:val="28"/>
          <w:szCs w:val="28"/>
          <w:lang w:val="en-US" w:eastAsia="en-US"/>
        </w:rPr>
      </w:pPr>
      <w:r>
        <w:rPr>
          <w:rFonts w:eastAsia="TimesNewRomanPSMT" w:cs="Times New Roman" w:ascii="Calibri" w:hAnsi="Calibri"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Как видно, при увеличении нагрузочной емкости не изменяется время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еивания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и увеличиваются остальные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временные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параметры.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 w:eastAsia="TimesNewRomanPSMT" w:cs="Times New Roman"/>
          <w:color w:val="000000" w:themeColor="text1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eastAsia="Calibri" w:cs="Times New Roman" w:eastAsiaTheme="minorHAnsi"/>
          <w:b/>
          <w:b/>
          <w:bCs/>
          <w:lang w:eastAsia="en-US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b/>
          <w:bCs/>
          <w:sz w:val="28"/>
          <w:szCs w:val="28"/>
          <w:lang w:eastAsia="en-US"/>
        </w:rPr>
        <w:t>Инверсное запирание ключа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bCs/>
          <w:sz w:val="28"/>
          <w:szCs w:val="28"/>
          <w:lang w:val="en-US" w:eastAsia="en-US"/>
        </w:rPr>
      </w:pPr>
      <w:r>
        <w:rPr>
          <w:rFonts w:eastAsia="Calibri" w:cs="Times New Roman" w:eastAsiaTheme="minorHAnsi" w:ascii="Calibri" w:hAnsi="Calibri"/>
          <w:bCs/>
          <w:sz w:val="28"/>
          <w:szCs w:val="28"/>
          <w:lang w:val="en-US"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454525" cy="2530475"/>
            <wp:effectExtent l="0" t="0" r="0" b="0"/>
            <wp:docPr id="34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/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Схема для 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сследовани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я</w:t>
      </w: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 xml:space="preserve"> работы ключа с инверсным запиранием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TimesNewRomanPSMT" w:cs="Times New Roman"/>
          <w:sz w:val="28"/>
          <w:szCs w:val="28"/>
          <w:lang w:eastAsia="en-US"/>
        </w:rPr>
      </w:pPr>
      <w:r>
        <w:rPr>
          <w:rFonts w:eastAsia="TimesNewRomanPSMT" w:cs="Times New Roman" w:ascii="Calibri" w:hAnsi="Calibri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639945" cy="2030730"/>
            <wp:effectExtent l="0" t="0" r="0" b="0"/>
            <wp:docPr id="35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/>
        <w:ind w:firstLine="709"/>
        <w:jc w:val="center"/>
        <w:rPr>
          <w:rFonts w:ascii="Calibri" w:hAnsi="Calibri"/>
          <w:sz w:val="28"/>
          <w:szCs w:val="28"/>
        </w:rPr>
      </w:pPr>
      <w:r>
        <w:rPr>
          <w:rFonts w:eastAsia="Calibri" w:cs="Times New Roman" w:ascii="Calibri" w:hAnsi="Calibri" w:eastAsiaTheme="minorHAnsi"/>
          <w:iCs/>
          <w:color w:val="000000" w:themeColor="text1"/>
          <w:sz w:val="28"/>
          <w:szCs w:val="28"/>
          <w:lang w:eastAsia="en-US"/>
        </w:rPr>
        <w:t>работа ключа с инверсным запиранием</w:t>
      </w:r>
    </w:p>
    <w:p>
      <w:pPr>
        <w:pStyle w:val="Normal"/>
        <w:spacing w:lineRule="auto" w:line="276"/>
        <w:ind w:firstLine="708"/>
        <w:jc w:val="both"/>
        <w:rPr/>
      </w:pPr>
      <w:r>
        <w:rPr>
          <w:rFonts w:eastAsia="TimesNewRomanPSMT" w:cs="Times New Roman" w:ascii="Calibri" w:hAnsi="Calibri"/>
          <w:sz w:val="28"/>
          <w:szCs w:val="28"/>
          <w:lang w:eastAsia="en-US"/>
        </w:rPr>
        <w:t>При инверсном запирании эмиттерный переход закрывается раньше коллекторного. В этом случае расс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еивание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заряда происходит сначала у эмиттерного перехода. Ток коллектора увеличивается, а ток эмиттера уменьшается, ток базы не меняется. </w:t>
      </w:r>
    </w:p>
    <w:p>
      <w:pPr>
        <w:pStyle w:val="Normal"/>
        <w:spacing w:lineRule="auto" w:line="276"/>
        <w:ind w:firstLine="709"/>
        <w:jc w:val="both"/>
        <w:rPr>
          <w:rFonts w:ascii="Calibri" w:hAnsi="Calibri" w:eastAsia="Calibri" w:cs="Times New Roman" w:eastAsiaTheme="minorHAnsi"/>
          <w:iCs/>
          <w:color w:val="000000" w:themeColor="text1"/>
          <w:sz w:val="28"/>
          <w:szCs w:val="28"/>
          <w:lang w:eastAsia="en-US"/>
        </w:rPr>
      </w:pPr>
      <w:r>
        <w:rPr>
          <w:rFonts w:eastAsia="Calibri" w:cs="Times New Roman" w:eastAsiaTheme="minorHAnsi" w:ascii="Calibri" w:hAnsi="Calibri"/>
          <w:iCs/>
          <w:color w:val="000000" w:themeColor="text1"/>
          <w:sz w:val="28"/>
          <w:szCs w:val="28"/>
          <w:lang w:eastAsia="en-US"/>
        </w:rPr>
      </w:r>
    </w:p>
    <w:p>
      <w:pPr>
        <w:pStyle w:val="Normal"/>
        <w:spacing w:lineRule="auto" w:line="276"/>
        <w:ind w:firstLine="709"/>
        <w:jc w:val="both"/>
        <w:rPr/>
      </w:pPr>
      <w:r>
        <w:rPr>
          <w:rFonts w:eastAsia="TimesNewRomanPSMT" w:cs="Times New Roman" w:ascii="Calibri" w:hAnsi="Calibri"/>
          <w:b/>
          <w:sz w:val="28"/>
          <w:szCs w:val="28"/>
          <w:lang w:eastAsia="en-US"/>
        </w:rPr>
        <w:t>Вывод: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В данной лабораторной работе были исследованы статические режимы и переходные процессы в схеме простого транзисторного ключа. Изучены зависимости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ф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,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рас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, τ</w:t>
      </w:r>
      <w:r>
        <w:rPr>
          <w:rFonts w:eastAsia="TimesNewRomanPSMT" w:cs="Times New Roman" w:ascii="Calibri" w:hAnsi="Calibri"/>
          <w:sz w:val="28"/>
          <w:szCs w:val="28"/>
          <w:vertAlign w:val="subscript"/>
          <w:lang w:eastAsia="en-US"/>
        </w:rPr>
        <w:t>ср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от входного напряжения и 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>емкости</w:t>
      </w:r>
      <w:r>
        <w:rPr>
          <w:rFonts w:eastAsia="TimesNewRomanPSMT" w:cs="Times New Roman" w:ascii="Calibri" w:hAnsi="Calibri"/>
          <w:sz w:val="28"/>
          <w:szCs w:val="28"/>
          <w:lang w:eastAsia="en-US"/>
        </w:rPr>
        <w:t xml:space="preserve"> нагрузочного или форсирующего конденсатора, а также рассмотрен режим инверсного запирания ключа.</w:t>
      </w:r>
    </w:p>
    <w:sectPr>
      <w:footerReference w:type="default" r:id="rId36"/>
      <w:type w:val="nextPage"/>
      <w:pgSz w:w="11906" w:h="16838"/>
      <w:pgMar w:left="1701" w:right="851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11</w:t>
    </w:r>
    <w:r>
      <w:rPr/>
      <w:fldChar w:fldCharType="end"/>
    </w:r>
  </w:p>
  <w:p>
    <w:pPr>
      <w:pStyle w:val="Style21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65d52"/>
    <w:pPr>
      <w:widowControl/>
      <w:bidi w:val="0"/>
      <w:spacing w:lineRule="auto" w:line="240" w:before="0" w:after="0"/>
      <w:jc w:val="left"/>
    </w:pPr>
    <w:rPr>
      <w:rFonts w:ascii="Calibri" w:hAnsi="Calibri" w:eastAsia="Calibri" w:cs="Arial" w:asciiTheme="minorHAnsi" w:eastAsiaTheme="minorHAnsi" w:hAnsiTheme="minorHAnsi"/>
      <w:color w:val="auto"/>
      <w:kern w:val="0"/>
      <w:sz w:val="20"/>
      <w:szCs w:val="20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d6d7d"/>
    <w:rPr>
      <w:rFonts w:ascii="Tahoma" w:hAnsi="Tahoma" w:eastAsia="Calibri" w:cs="Tahoma"/>
      <w:sz w:val="16"/>
      <w:szCs w:val="16"/>
      <w:lang w:eastAsia="ru-RU"/>
    </w:rPr>
  </w:style>
  <w:style w:type="character" w:styleId="HeaderChar" w:customStyle="1">
    <w:name w:val="Header Char"/>
    <w:basedOn w:val="DefaultParagraphFont"/>
    <w:link w:val="Header"/>
    <w:uiPriority w:val="99"/>
    <w:semiHidden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dc344d"/>
    <w:rPr>
      <w:rFonts w:ascii="Calibri" w:hAnsi="Calibri" w:eastAsia="Calibri" w:cs="Arial"/>
      <w:sz w:val="20"/>
      <w:szCs w:val="20"/>
      <w:lang w:eastAsia="ru-RU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qFormat/>
    <w:rsid w:val="009536c2"/>
    <w:rPr>
      <w:rFonts w:ascii="Tahoma" w:hAnsi="Tahoma" w:eastAsia="Calibri" w:cs="Tahoma"/>
      <w:sz w:val="16"/>
      <w:szCs w:val="16"/>
      <w:lang w:eastAsia="ru-RU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465d52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eastAsia="ru-RU" w:val="ru-RU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d6d7d"/>
    <w:pPr/>
    <w:rPr>
      <w:rFonts w:ascii="Tahoma" w:hAnsi="Tahoma" w:cs="Tahoma"/>
      <w:sz w:val="16"/>
      <w:szCs w:val="16"/>
    </w:rPr>
  </w:style>
  <w:style w:type="paragraph" w:styleId="Style19">
    <w:name w:val="Верхний и нижний колонтитулы"/>
    <w:basedOn w:val="Normal"/>
    <w:qFormat/>
    <w:pPr/>
    <w:rPr/>
  </w:style>
  <w:style w:type="paragraph" w:styleId="Style20">
    <w:name w:val="Header"/>
    <w:basedOn w:val="Normal"/>
    <w:link w:val="HeaderChar"/>
    <w:uiPriority w:val="99"/>
    <w:semiHidden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1">
    <w:name w:val="Footer"/>
    <w:basedOn w:val="Normal"/>
    <w:link w:val="FooterChar"/>
    <w:uiPriority w:val="99"/>
    <w:unhideWhenUsed/>
    <w:rsid w:val="00dc344d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ListParagraph">
    <w:name w:val="List Paragraph"/>
    <w:basedOn w:val="Normal"/>
    <w:uiPriority w:val="34"/>
    <w:qFormat/>
    <w:rsid w:val="008c4dd6"/>
    <w:pPr>
      <w:spacing w:before="0" w:after="0"/>
      <w:ind w:left="720" w:hanging="0"/>
      <w:contextualSpacing/>
    </w:pPr>
    <w:rPr/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9536c2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dd1c7b"/>
    <w:pPr>
      <w:spacing w:beforeAutospacing="1" w:afterAutospacing="1"/>
    </w:pPr>
    <w:rPr>
      <w:rFonts w:ascii="Times New Roman" w:hAnsi="Times New Roman" w:eastAsia="Times New Roman" w:cs="Times New Roman"/>
      <w:sz w:val="24"/>
      <w:szCs w:val="24"/>
      <w:lang w:val="en-RU" w:eastAsia="en-GB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bd2786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wmf"/><Relationship Id="rId12" Type="http://schemas.openxmlformats.org/officeDocument/2006/relationships/image" Target="media/image11.wmf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wmf"/><Relationship Id="rId16" Type="http://schemas.openxmlformats.org/officeDocument/2006/relationships/image" Target="media/image15.wmf"/><Relationship Id="rId17" Type="http://schemas.openxmlformats.org/officeDocument/2006/relationships/image" Target="media/image16.wmf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wmf"/><Relationship Id="rId29" Type="http://schemas.openxmlformats.org/officeDocument/2006/relationships/image" Target="media/image28.wmf"/><Relationship Id="rId30" Type="http://schemas.openxmlformats.org/officeDocument/2006/relationships/image" Target="media/image29.png"/><Relationship Id="rId31" Type="http://schemas.openxmlformats.org/officeDocument/2006/relationships/image" Target="media/image30.wmf"/><Relationship Id="rId32" Type="http://schemas.openxmlformats.org/officeDocument/2006/relationships/image" Target="media/image31.wmf"/><Relationship Id="rId33" Type="http://schemas.openxmlformats.org/officeDocument/2006/relationships/image" Target="media/image32.wmf"/><Relationship Id="rId34" Type="http://schemas.openxmlformats.org/officeDocument/2006/relationships/image" Target="media/image33.png"/><Relationship Id="rId35" Type="http://schemas.openxmlformats.org/officeDocument/2006/relationships/image" Target="media/image34.wmf"/><Relationship Id="rId36" Type="http://schemas.openxmlformats.org/officeDocument/2006/relationships/footer" Target="footer1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<Relationship Id="rId4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88680-9948-43DD-9306-0A6BA025B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LibreOffice/7.0.1.2$Windows_x86 LibreOffice_project/7cbcfc562f6eb6708b5ff7d7397325de9e764452</Application>
  <Pages>11</Pages>
  <Words>629</Words>
  <Characters>3900</Characters>
  <CharactersWithSpaces>4382</CharactersWithSpaces>
  <Paragraphs>186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2021-04-10T09:12:00Z</dcterms:created>
  <dc:creator>GORD</dc:creator>
  <dc:description/>
  <dc:language>ru-RU</dc:language>
  <cp:lastModifiedBy/>
  <dcterms:modified xsi:type="dcterms:W3CDTF">2021-04-13T01:10:36Z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