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8.png" ContentType="image/png"/>
  <Override PartName="/word/media/image1.jpeg" ContentType="image/jpeg"/>
  <Override PartName="/word/media/image14.wmf" ContentType="image/x-wmf"/>
  <Override PartName="/word/media/image3.png" ContentType="image/png"/>
  <Override PartName="/word/media/image13.wmf" ContentType="image/x-wmf"/>
  <Override PartName="/word/media/image2.png" ContentType="image/png"/>
  <Override PartName="/word/media/image15.wmf" ContentType="image/x-wmf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wmf" ContentType="image/x-wmf"/>
  <Override PartName="/word/media/image10.wmf" ContentType="image/x-wmf"/>
  <Override PartName="/word/media/image11.png" ContentType="image/png"/>
  <Override PartName="/word/media/image12.png" ContentType="image/png"/>
  <Override PartName="/word/media/image16.png" ContentType="image/png"/>
  <Override PartName="/word/media/image17.png" ContentType="image/png"/>
  <Override PartName="/word/media/image29.wmf" ContentType="image/x-wmf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33.wmf" ContentType="image/x-wmf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wmf" ContentType="image/x-wmf"/>
  <Override PartName="/word/media/image27.wmf" ContentType="image/x-wmf"/>
  <Override PartName="/word/media/image30.wmf" ContentType="image/x-wmf"/>
  <Override PartName="/word/media/image31.wmf" ContentType="image/x-wmf"/>
  <Override PartName="/word/media/image3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7"/>
        <w:ind w:left="2480" w:right="54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3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34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75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b/>
          <w:bCs/>
        </w:rPr>
        <w:t>КОМПЬЮТЕРНЫЕ СИСТЕМЫ И СЕТИ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(ИУ6)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НАПРАВЛЕНИЕ ПОДГОТОВКИ </w:t>
      </w:r>
      <w:r>
        <w:rPr>
          <w:rFonts w:ascii="Times New Roman" w:hAnsi="Times New Roman"/>
          <w:b/>
          <w:bCs/>
        </w:rPr>
        <w:t>09.03.01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2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b/>
          <w:b/>
          <w:bCs/>
          <w:sz w:val="40"/>
          <w:szCs w:val="40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3</w:t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5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Название: </w:t>
      </w:r>
      <w:r>
        <w:rPr>
          <w:rFonts w:eastAsia="Calibri" w:cs="Arial" w:ascii="Times New Roman" w:hAnsi="Times New Roman"/>
          <w:b w:val="false"/>
          <w:bCs w:val="false"/>
          <w:sz w:val="32"/>
          <w:szCs w:val="32"/>
          <w:u w:val="single"/>
          <w:lang w:val="ru-RU" w:eastAsia="ru-RU"/>
        </w:rPr>
        <w:t>Ключевой режим работы транзистора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51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2"/>
        <w:gridCol w:w="197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7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2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7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2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7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2" w:type="dxa"/>
            <w:tcBorders/>
            <w:vAlign w:val="bottom"/>
          </w:tcPr>
          <w:p>
            <w:pPr>
              <w:pStyle w:val="Normal"/>
              <w:widowControl w:val="false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7" w:type="dxa"/>
            <w:tcBorders/>
            <w:vAlign w:val="bottom"/>
          </w:tcPr>
          <w:p>
            <w:pPr>
              <w:pStyle w:val="Normal"/>
              <w:widowControl w:val="false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spacing w:lineRule="auto" w:line="235"/>
        <w:ind w:right="-99" w:hanging="0"/>
        <w:jc w:val="center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3"/>
          <w:szCs w:val="23"/>
        </w:rPr>
        <w:t>Москва, 2021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 New Roman" w:cs="Times New Roman" w:ascii="Calibri" w:hAnsi="Calibri"/>
          <w:b w:val="false"/>
          <w:bCs w:val="false"/>
          <w:sz w:val="28"/>
          <w:szCs w:val="28"/>
        </w:rPr>
        <w:t xml:space="preserve">Цель: </w:t>
      </w:r>
      <w:r>
        <w:rPr>
          <w:rFonts w:eastAsia="Times New Roman" w:cs="Times New Roman" w:ascii="Calibri" w:hAnsi="Calibri"/>
          <w:color w:val="000000"/>
          <w:sz w:val="28"/>
          <w:szCs w:val="28"/>
        </w:rPr>
        <w:t xml:space="preserve">исследовать статические режимы и переходные процессы в схеме простого транзисторного ключа. </w:t>
      </w:r>
    </w:p>
    <w:p>
      <w:pPr>
        <w:pStyle w:val="Normal"/>
        <w:shd w:val="clear" w:color="auto" w:fill="FFFFFF"/>
        <w:spacing w:lineRule="auto" w:line="276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Нахождение «граничной точки»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16475" cy="2774950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Исходная схема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Чтобы найти "граничную точку",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н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об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х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одимо увелич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ить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ток коллектора, уменьшив значение сопротивления.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Найдем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такое значение сопротивления, чтобы соблюдалось соотношение: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329055" cy="513080"/>
            <wp:effectExtent l="0" t="0" r="0" b="0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075940" cy="2386330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Упрощенная схема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С помощью метода контурных токов вычислим ток базы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б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02305" cy="485140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96515" cy="534035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193165" cy="35560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Подставим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параметры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в исходную схему и проведем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DC-sweep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анализ, чтобы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найти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граничную точку: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29175" cy="230378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Передаточная характеристика</w:t>
      </w:r>
    </w:p>
    <w:p>
      <w:pPr>
        <w:pStyle w:val="Normal"/>
        <w:spacing w:lineRule="auto" w:line="276"/>
        <w:ind w:hanging="0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71720" cy="2383790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График зависимости ток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val="ru-RU" w:eastAsia="en-US"/>
        </w:rPr>
        <w:t>ов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базы и тока эмиттера от входного напряжения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Из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графика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можно найти Iб = 58.2 мкА, Iк = 6,9 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B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=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Ik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/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б = 6900 мка / 58.2 мка = 118.5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Исследование статического коэффициента усиления по току В</w:t>
      </w:r>
    </w:p>
    <w:p>
      <w:pPr>
        <w:pStyle w:val="Normal"/>
        <w:spacing w:lineRule="auto" w:line="276"/>
        <w:ind w:hanging="0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Для 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исследования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 схеме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необходимо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менять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Rк и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снимать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значения Jб, Jк и Uкэ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. Также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расчитываем коэффициент B = Jк/Jб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RU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2897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статического коэффициента усиления по току В при различных Rк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rPr>
          <w:rFonts w:ascii="Calibri" w:hAnsi="Calibri"/>
          <w:sz w:val="28"/>
          <w:szCs w:val="28"/>
        </w:rPr>
      </w:pPr>
      <w:r>
        <w:rPr>
          <w:rFonts w:eastAsia="Times New Roman" w:cs="Times New Roman" w:ascii="Calibri" w:hAnsi="Calibri"/>
          <w:color w:val="000000"/>
          <w:sz w:val="28"/>
          <w:szCs w:val="28"/>
          <w:lang w:val="en-RU" w:eastAsia="en-GB"/>
        </w:rPr>
        <w:t>Исследование статического коэффициента усиления по току В при различных Rк</w:t>
      </w:r>
      <w:r>
        <w:rPr>
          <w:rFonts w:eastAsia="Times New Roman" w:cs="Times New Roman" w:ascii="Calibri" w:hAnsi="Calibri"/>
          <w:sz w:val="28"/>
          <w:szCs w:val="28"/>
          <w:lang w:eastAsia="en-GB"/>
        </w:rPr>
        <w:t>: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66"/>
        <w:gridCol w:w="1876"/>
        <w:gridCol w:w="1869"/>
        <w:gridCol w:w="1864"/>
        <w:gridCol w:w="1869"/>
      </w:tblGrid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>к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 xml:space="preserve"> Ом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U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кэ, мВ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б, мкА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к, мА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8849,0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5989,1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410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182,7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125,6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108,2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133,0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126,3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8,9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70,4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102,2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127,4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4,4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34,6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74,6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128,8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13,9</w:t>
            </w:r>
          </w:p>
        </w:tc>
      </w:tr>
    </w:tbl>
    <w:p>
      <w:pPr>
        <w:pStyle w:val="NormalWeb"/>
        <w:spacing w:lineRule="auto" w:line="276" w:before="280" w:after="280"/>
        <w:ind w:firstLine="708"/>
        <w:jc w:val="both"/>
        <w:rPr/>
      </w:pP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При значении Rк от 10 Ом до 200 Ом каскад находится в активном режиме, так как коэффициент B еще соответсвует величине B в параметрах транзистора.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При увеличении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 Rk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от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200 Ом 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до 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400 Ом произошел переход границы зоны насыщения, после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чео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напряжение на выходе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стало резко падать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Исследование динамических характеристик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Рассмотрим изменение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при различном входном периодическом напряжении. Частоту генератора примем равной 1 КГц, сигнал прямоугольный.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704715" cy="272732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Рассматриваемая схема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933950" cy="2647315"/>
            <wp:effectExtent l="0" t="0" r="0" b="0"/>
            <wp:docPr id="1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261485" cy="2711450"/>
            <wp:effectExtent l="0" t="0" r="0" b="0"/>
            <wp:docPr id="1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03775" cy="2105025"/>
            <wp:effectExtent l="0" t="0" r="0" b="0"/>
            <wp:docPr id="15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 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Из рисунков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выше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можно найти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ф,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рас,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с. Найдем эти величины для разных значений амплитуды входного сигнала.</w:t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</w:p>
    <w:tbl>
      <w:tblPr>
        <w:tblStyle w:val="TableGrid"/>
        <w:tblW w:w="76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4"/>
        <w:gridCol w:w="1914"/>
        <w:gridCol w:w="1914"/>
        <w:gridCol w:w="1913"/>
      </w:tblGrid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ф, мкс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рас, мкс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с, мкс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5,2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4,5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2,0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12.5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2,4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3,5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19,1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3,4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Из таблицы видно, что при увеличении амплитуды входного сигнала время рассеивания электронов увеличивается и длительность среза увеличиваются, а длительность фронта уменьшается.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b/>
          <w:bCs/>
          <w:sz w:val="28"/>
          <w:szCs w:val="28"/>
          <w:lang w:eastAsia="en-US"/>
        </w:rPr>
        <w:t>Аналитический расчет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936365" cy="1055370"/>
            <wp:effectExtent l="0" t="0" r="0" b="0"/>
            <wp:docPr id="16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053715" cy="37973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30475" cy="638175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29840" cy="493395"/>
            <wp:effectExtent l="0" t="0" r="0" b="0"/>
            <wp:docPr id="1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29205" cy="551815"/>
            <wp:effectExtent l="0" t="0" r="0" b="0"/>
            <wp:docPr id="2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320165" cy="480695"/>
            <wp:effectExtent l="0" t="0" r="0" b="0"/>
            <wp:docPr id="2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50565" cy="638175"/>
            <wp:effectExtent l="0" t="0" r="0" b="0"/>
            <wp:docPr id="2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49295" cy="522605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48025" cy="67818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Сравнительная таблица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1"/>
        <w:gridCol w:w="1854"/>
        <w:gridCol w:w="1859"/>
        <w:gridCol w:w="1862"/>
        <w:gridCol w:w="1858"/>
      </w:tblGrid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Замеренные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Вычисленные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1,6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22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3,3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Разница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1,3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11,3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0,6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Влияние форсирующего конденсатора на параметры переходных процессов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27905" cy="2881630"/>
            <wp:effectExtent l="0" t="0" r="0" b="0"/>
            <wp:docPr id="25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влияния форсирующего конденсатора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570855" cy="2434590"/>
            <wp:effectExtent l="0" t="0" r="0" b="0"/>
            <wp:docPr id="26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20pF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428615" cy="1765300"/>
            <wp:effectExtent l="0" t="0" r="0" b="0"/>
            <wp:docPr id="2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40pF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Как видно, при увеличении форсирующей емкости уменьшается время длительности фронта и время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электронов.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Влияние ёмкостной нагрузки на параметры переходных процессов</w:t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172585" cy="2427605"/>
            <wp:effectExtent l="0" t="0" r="0" b="0"/>
            <wp:docPr id="2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влияния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емкостной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475605" cy="2265680"/>
            <wp:effectExtent l="0" t="0" r="0" b="0"/>
            <wp:docPr id="2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500pF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010150" cy="2006600"/>
            <wp:effectExtent l="0" t="0" r="0" b="0"/>
            <wp:docPr id="3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2nF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126990" cy="2019300"/>
            <wp:effectExtent l="0" t="0" r="0" b="0"/>
            <wp:docPr id="31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10nF</w:t>
      </w:r>
    </w:p>
    <w:p>
      <w:pPr>
        <w:pStyle w:val="Normal"/>
        <w:spacing w:lineRule="auto" w:line="276"/>
        <w:ind w:firstLine="709"/>
        <w:jc w:val="center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2"/>
        <w:gridCol w:w="2336"/>
        <w:gridCol w:w="2339"/>
        <w:gridCol w:w="2336"/>
      </w:tblGrid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 xml:space="preserve">С, 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p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F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0,5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3,4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3,7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5,0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7,1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9,4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10,3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7,3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16,4</w:t>
            </w:r>
          </w:p>
        </w:tc>
      </w:tr>
    </w:tbl>
    <w:p>
      <w:pPr>
        <w:pStyle w:val="Normal"/>
        <w:spacing w:lineRule="auto" w:line="276"/>
        <w:ind w:firstLine="709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Как видно, при увеличении нагрузочной емкости не изменяется время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и увеличиваются остальные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временные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параметры.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eastAsia="Calibri" w:cs="Times New Roman" w:eastAsiaTheme="minorHAnsi"/>
          <w:b/>
          <w:b/>
          <w:bCs/>
          <w:lang w:eastAsia="en-US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Инверсное запирание ключа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val="en-US" w:eastAsia="en-US"/>
        </w:rPr>
      </w:pPr>
      <w:r>
        <w:rPr>
          <w:rFonts w:eastAsia="Calibri" w:cs="Times New Roman" w:eastAsiaTheme="minorHAnsi" w:ascii="Calibri" w:hAnsi="Calibri"/>
          <w:bCs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454525" cy="2530475"/>
            <wp:effectExtent l="0" t="0" r="0" b="0"/>
            <wp:docPr id="3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работы ключа с инверсным запиранием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639945" cy="2030730"/>
            <wp:effectExtent l="0" t="0" r="0" b="0"/>
            <wp:docPr id="3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работа ключа с инверсным запиранием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При инверсном запирании эмиттерный переход закрывается раньше коллекторного. В этом случае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заряда происходит сначала у эмиттерного перехода. Ток коллектора увеличивается, а ток эмиттера уменьшается, ток базы не меняется. 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b/>
          <w:sz w:val="28"/>
          <w:szCs w:val="28"/>
          <w:lang w:eastAsia="en-US"/>
        </w:rPr>
        <w:t>Вывод: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 данной лабораторной работе были исследованы статические режимы и переходные процессы в схеме простого транзисторного ключа. Изучены зависимости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,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,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ср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от входного напряжения и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емкости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нагрузочного или форсирующего конденсатора, а также рассмотрен режим инверсного запирания ключа.</w:t>
      </w:r>
    </w:p>
    <w:sectPr>
      <w:footerReference w:type="default" r:id="rId35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  <w:p>
    <w:pPr>
      <w:pStyle w:val="Style21"/>
      <w:rPr/>
    </w:pPr>
    <w:r>
      <w:rPr/>
    </w:r>
  </w:p>
</w:ftr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d52"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6d7d"/>
    <w:rPr>
      <w:rFonts w:ascii="Tahoma" w:hAnsi="Tahoma" w:eastAsia="Calibri" w:cs="Tahoma"/>
      <w:sz w:val="16"/>
      <w:szCs w:val="16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9536c2"/>
    <w:rPr>
      <w:rFonts w:ascii="Tahoma" w:hAnsi="Tahoma" w:eastAsia="Calibri" w:cs="Tahoma"/>
      <w:sz w:val="16"/>
      <w:szCs w:val="1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465d52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eastAsia="ru-RU" w:val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6d7d"/>
    <w:pPr/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Normal"/>
    <w:link w:val="HeaderChar"/>
    <w:uiPriority w:val="99"/>
    <w:semiHidden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8c4dd6"/>
    <w:pPr>
      <w:spacing w:before="0" w:after="0"/>
      <w:ind w:left="720" w:hanging="0"/>
      <w:contextualSpacing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536c2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dd1c7b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d278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wmf"/><Relationship Id="rId11" Type="http://schemas.openxmlformats.org/officeDocument/2006/relationships/image" Target="media/image10.wmf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wmf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wmf"/><Relationship Id="rId28" Type="http://schemas.openxmlformats.org/officeDocument/2006/relationships/image" Target="media/image27.wmf"/><Relationship Id="rId29" Type="http://schemas.openxmlformats.org/officeDocument/2006/relationships/image" Target="media/image28.png"/><Relationship Id="rId30" Type="http://schemas.openxmlformats.org/officeDocument/2006/relationships/image" Target="media/image29.wmf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png"/><Relationship Id="rId34" Type="http://schemas.openxmlformats.org/officeDocument/2006/relationships/image" Target="media/image33.wmf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88680-9948-43DD-9306-0A6BA025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Application>LibreOffice/7.0.1.2$Windows_x86 LibreOffice_project/7cbcfc562f6eb6708b5ff7d7397325de9e764452</Application>
  <Pages>11</Pages>
  <Words>627</Words>
  <Characters>3900</Characters>
  <CharactersWithSpaces>4392</CharactersWithSpaces>
  <Paragraphs>185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2021-04-10T09:12:00Z</dcterms:created>
  <dc:creator>GORD</dc:creator>
  <dc:description/>
  <dc:language>ru-RU</dc:language>
  <cp:lastModifiedBy/>
  <dcterms:modified xsi:type="dcterms:W3CDTF">2021-04-13T01:26:11Z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