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28.png" ContentType="image/png"/>
  <Override PartName="/word/media/image1.jpeg" ContentType="image/jpeg"/>
  <Override PartName="/word/media/image14.wmf" ContentType="image/x-wmf"/>
  <Override PartName="/word/media/image3.png" ContentType="image/png"/>
  <Override PartName="/word/media/image13.wmf" ContentType="image/x-wmf"/>
  <Override PartName="/word/media/image2.png" ContentType="image/png"/>
  <Override PartName="/word/media/image15.wmf" ContentType="image/x-wmf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30.wmf" ContentType="image/x-wmf"/>
  <Override PartName="/word/media/image10.wmf" ContentType="image/x-wmf"/>
  <Override PartName="/word/media/image11.png" ContentType="image/png"/>
  <Override PartName="/word/media/image12.png" ContentType="image/png"/>
  <Override PartName="/word/media/image16.png" ContentType="image/png"/>
  <Override PartName="/word/media/image17.png" ContentType="image/png"/>
  <Override PartName="/word/media/image29.wmf" ContentType="image/x-wmf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33.wmf" ContentType="image/x-wmf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wmf" ContentType="image/x-wmf"/>
  <Override PartName="/word/media/image27.wmf" ContentType="image/x-wmf"/>
  <Override PartName="/word/media/image31.wmf" ContentType="image/x-wmf"/>
  <Override PartName="/word/media/image3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7"/>
        <w:ind w:left="2480" w:right="54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exact" w:line="2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1" distT="0" distB="0" distL="0" distR="0" simplePos="0" locked="0" layoutInCell="0" allowOverlap="1" relativeHeight="32">
            <wp:simplePos x="0" y="0"/>
            <wp:positionH relativeFrom="column">
              <wp:posOffset>-76835</wp:posOffset>
            </wp:positionH>
            <wp:positionV relativeFrom="paragraph">
              <wp:posOffset>-321310</wp:posOffset>
            </wp:positionV>
            <wp:extent cx="733425" cy="828675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80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«Московский государственный технический университет</w:t>
      </w:r>
    </w:p>
    <w:p>
      <w:pPr>
        <w:pStyle w:val="Normal"/>
        <w:ind w:left="180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имени Н.Э. Баумана</w:t>
      </w:r>
    </w:p>
    <w:p>
      <w:pPr>
        <w:pStyle w:val="Normal"/>
        <w:ind w:left="180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(национальный исследовательский университет)»</w:t>
      </w:r>
    </w:p>
    <w:p>
      <w:pPr>
        <w:pStyle w:val="Normal"/>
        <w:ind w:left="180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(МГТУ им. Н.Э. Баумана)</w:t>
      </w:r>
    </w:p>
    <w:p>
      <w:pPr>
        <w:pStyle w:val="Normal"/>
        <w:spacing w:lineRule="exact" w:line="2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1" distT="0" distB="0" distL="0" distR="0" simplePos="0" locked="0" layoutInCell="0" allowOverlap="1" relativeHeight="33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6296025" cy="14605"/>
            <wp:effectExtent l="0" t="0" r="0" b="0"/>
            <wp:wrapNone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375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ФАКУЛЬТЕТ </w:t>
      </w:r>
      <w:r>
        <w:rPr>
          <w:rFonts w:ascii="Times New Roman" w:hAnsi="Times New Roman"/>
          <w:b/>
          <w:bCs/>
        </w:rPr>
        <w:t>ИНФОРМАТИКА И СИСТЕМЫ УПРАВЛЕНИЯ</w:t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КАФЕДРА </w:t>
      </w:r>
      <w:r>
        <w:rPr>
          <w:rFonts w:ascii="Times New Roman" w:hAnsi="Times New Roman"/>
          <w:b/>
          <w:bCs/>
        </w:rPr>
        <w:t>КОМПЬЮТЕРНЫЕ СИСТЕМЫ И СЕТИ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bCs/>
        </w:rPr>
        <w:t>(ИУ6)</w:t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НАПРАВЛЕНИЕ ПОДГОТОВКИ </w:t>
      </w:r>
      <w:r>
        <w:rPr>
          <w:rFonts w:ascii="Times New Roman" w:hAnsi="Times New Roman"/>
          <w:b/>
          <w:bCs/>
        </w:rPr>
        <w:t>09.03.01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bCs/>
        </w:rPr>
        <w:t>Информатика и вычислительная техника</w:t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2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right="-99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40"/>
          <w:szCs w:val="40"/>
        </w:rPr>
        <w:t>ОТЧЕТ</w:t>
      </w:r>
    </w:p>
    <w:p>
      <w:pPr>
        <w:pStyle w:val="Normal"/>
        <w:ind w:right="-99" w:hanging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ind w:right="-99" w:hanging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ind w:right="-99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По лабораторной работе №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3</w:t>
      </w:r>
    </w:p>
    <w:p>
      <w:pPr>
        <w:pStyle w:val="Normal"/>
        <w:ind w:right="-99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spacing w:lineRule="exact" w:line="2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35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 xml:space="preserve">Название: </w:t>
      </w:r>
      <w:r>
        <w:rPr>
          <w:rFonts w:eastAsia="Calibri" w:cs="Arial" w:ascii="Times New Roman" w:hAnsi="Times New Roman"/>
          <w:b w:val="false"/>
          <w:bCs w:val="false"/>
          <w:sz w:val="32"/>
          <w:szCs w:val="32"/>
          <w:u w:val="single"/>
          <w:lang w:val="ru-RU" w:eastAsia="ru-RU"/>
        </w:rPr>
        <w:t>Ключевой режим работы транзистора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/>
          <w:sz w:val="32"/>
          <w:szCs w:val="32"/>
          <w:u w:val="single"/>
        </w:rPr>
        <w:t>Электроника</w:t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51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W w:w="9820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2000"/>
        <w:gridCol w:w="1619"/>
        <w:gridCol w:w="2041"/>
        <w:gridCol w:w="2026"/>
        <w:gridCol w:w="193"/>
        <w:gridCol w:w="1940"/>
      </w:tblGrid>
      <w:tr>
        <w:trPr>
          <w:trHeight w:val="348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Студент               </w:t>
            </w:r>
          </w:p>
        </w:tc>
        <w:tc>
          <w:tcPr>
            <w:tcW w:w="1619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ИУ-42б</w:t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26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3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4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С.В.Астахов</w:t>
            </w:r>
          </w:p>
        </w:tc>
      </w:tr>
      <w:tr>
        <w:trPr>
          <w:trHeight w:val="260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619" w:type="dxa"/>
            <w:tcBorders/>
            <w:vAlign w:val="bottom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w w:val="95"/>
                <w:sz w:val="20"/>
                <w:szCs w:val="20"/>
              </w:rPr>
              <w:t>(Группа)</w:t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26" w:type="dxa"/>
            <w:tcBorders/>
            <w:vAlign w:val="bottom"/>
          </w:tcPr>
          <w:p>
            <w:pPr>
              <w:pStyle w:val="Normal"/>
              <w:widowControl w:val="false"/>
              <w:ind w:left="340" w:hanging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(Подпись, дата)</w:t>
            </w:r>
          </w:p>
        </w:tc>
        <w:tc>
          <w:tcPr>
            <w:tcW w:w="193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40" w:type="dxa"/>
            <w:tcBorders/>
            <w:vAlign w:val="bottom"/>
          </w:tcPr>
          <w:p>
            <w:pPr>
              <w:pStyle w:val="Normal"/>
              <w:widowControl w:val="false"/>
              <w:ind w:left="300" w:hanging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(И.О. Фамилия)</w:t>
            </w:r>
          </w:p>
        </w:tc>
      </w:tr>
      <w:tr>
        <w:trPr>
          <w:trHeight w:val="716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Преподаватель</w:t>
            </w:r>
          </w:p>
        </w:tc>
        <w:tc>
          <w:tcPr>
            <w:tcW w:w="1619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26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3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4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>
          <w:trHeight w:val="260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619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26" w:type="dxa"/>
            <w:tcBorders/>
            <w:vAlign w:val="bottom"/>
          </w:tcPr>
          <w:p>
            <w:pPr>
              <w:pStyle w:val="Normal"/>
              <w:widowControl w:val="false"/>
              <w:ind w:left="340" w:hanging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(Подпись, дата)</w:t>
            </w:r>
          </w:p>
        </w:tc>
        <w:tc>
          <w:tcPr>
            <w:tcW w:w="193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40" w:type="dxa"/>
            <w:tcBorders/>
            <w:vAlign w:val="bottom"/>
          </w:tcPr>
          <w:p>
            <w:pPr>
              <w:pStyle w:val="Normal"/>
              <w:widowControl w:val="false"/>
              <w:ind w:left="300" w:hanging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(И.О. Фамилия)</w:t>
            </w:r>
          </w:p>
        </w:tc>
      </w:tr>
    </w:tbl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spacing w:lineRule="auto" w:line="235"/>
        <w:ind w:right="-99" w:hanging="0"/>
        <w:jc w:val="center"/>
        <w:rPr>
          <w:rFonts w:ascii="Times New Roman" w:hAnsi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3"/>
          <w:szCs w:val="23"/>
        </w:rPr>
        <w:t>Москва, 2021</w:t>
      </w:r>
    </w:p>
    <w:p>
      <w:pPr>
        <w:pStyle w:val="Normal"/>
        <w:shd w:val="clear" w:color="auto" w:fill="FFFFFF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 New Roman" w:cs="Times New Roman"/>
          <w:b w:val="false"/>
          <w:bCs w:val="false"/>
          <w:sz w:val="28"/>
          <w:szCs w:val="28"/>
        </w:rPr>
        <w:t xml:space="preserve">Цель: </w:t>
      </w:r>
      <w:r>
        <w:rPr>
          <w:rFonts w:eastAsia="Times New Roman" w:cs="Times New Roman"/>
          <w:color w:val="000000"/>
          <w:sz w:val="28"/>
          <w:szCs w:val="28"/>
        </w:rPr>
        <w:t xml:space="preserve">исследовать статические режимы и переходные процессы в схеме простого транзисторного ключа. </w:t>
      </w:r>
    </w:p>
    <w:p>
      <w:pPr>
        <w:pStyle w:val="Normal"/>
        <w:shd w:val="clear" w:color="auto" w:fill="FFFFFF"/>
        <w:spacing w:lineRule="auto" w:line="276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  <w:t>Нахождение «граничной точки»</w:t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816475" cy="2774950"/>
            <wp:effectExtent l="0" t="0" r="0" b="0"/>
            <wp:docPr id="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Исходная схема</w:t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/>
      </w:pPr>
      <w:r>
        <w:rPr>
          <w:rFonts w:eastAsia="TimesNewRomanPSMT" w:cs="Times New Roman"/>
          <w:sz w:val="28"/>
          <w:szCs w:val="28"/>
          <w:lang w:eastAsia="en-US"/>
        </w:rPr>
        <w:t>Чтобы найти "граничную точку",</w:t>
      </w:r>
      <w:r>
        <w:rPr>
          <w:rFonts w:eastAsia="TimesNewRomanPSMT" w:cs="Times New Roman"/>
          <w:sz w:val="28"/>
          <w:szCs w:val="28"/>
          <w:lang w:val="ru-RU" w:eastAsia="en-US"/>
        </w:rPr>
        <w:t xml:space="preserve"> </w:t>
      </w:r>
      <w:r>
        <w:rPr>
          <w:rFonts w:eastAsia="TimesNewRomanPSMT" w:cs="Times New Roman"/>
          <w:sz w:val="28"/>
          <w:szCs w:val="28"/>
          <w:lang w:val="en-US" w:eastAsia="en-US"/>
        </w:rPr>
        <w:t>н</w:t>
      </w:r>
      <w:r>
        <w:rPr>
          <w:rFonts w:eastAsia="TimesNewRomanPSMT" w:cs="Times New Roman"/>
          <w:sz w:val="28"/>
          <w:szCs w:val="28"/>
          <w:lang w:val="ru-RU" w:eastAsia="en-US"/>
        </w:rPr>
        <w:t xml:space="preserve">еобходимо увеличить </w:t>
      </w:r>
      <w:r>
        <w:rPr>
          <w:rFonts w:eastAsia="TimesNewRomanPSMT" w:cs="Times New Roman"/>
          <w:sz w:val="28"/>
          <w:szCs w:val="28"/>
          <w:lang w:eastAsia="en-US"/>
        </w:rPr>
        <w:t>ток коллектора, уменьшив значение сопротивления. Найдем такое значение сопротивления, чтобы соблюдалось соотношение: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1329055" cy="513080"/>
            <wp:effectExtent l="0" t="0" r="0" b="0"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075940" cy="2386330"/>
            <wp:effectExtent l="0" t="0" r="0" b="0"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Упрощенная схема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eastAsia="TimesNewRomanPSMT" w:cs="Times New Roman"/>
          <w:lang w:eastAsia="en-US"/>
        </w:rPr>
      </w:pPr>
      <w:r>
        <w:rPr>
          <w:rFonts w:eastAsia="TimesNewRomanPSMT" w:cs="Times New Roman"/>
          <w:lang w:eastAsia="en-US"/>
        </w:rPr>
      </w:r>
      <w:r>
        <w:br w:type="page"/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eastAsia="en-US"/>
        </w:rPr>
        <w:t xml:space="preserve">С помощью метода контурных токов вычислим ток базы </w:t>
      </w:r>
      <w:r>
        <w:rPr>
          <w:rFonts w:eastAsia="TimesNewRomanPSMT" w:cs="Times New Roman"/>
          <w:sz w:val="28"/>
          <w:szCs w:val="28"/>
          <w:lang w:val="en-US" w:eastAsia="en-US"/>
        </w:rPr>
        <w:t>I</w:t>
      </w:r>
      <w:r>
        <w:rPr>
          <w:rFonts w:eastAsia="TimesNewRomanPSMT" w:cs="Times New Roman"/>
          <w:sz w:val="28"/>
          <w:szCs w:val="28"/>
          <w:lang w:eastAsia="en-US"/>
        </w:rPr>
        <w:t>б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202305" cy="485140"/>
            <wp:effectExtent l="0" t="0" r="0" b="0"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0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2596515" cy="534035"/>
            <wp:effectExtent l="0" t="0" r="0" b="0"/>
            <wp:docPr id="7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1193165" cy="355600"/>
            <wp:effectExtent l="0" t="0" r="0" b="0"/>
            <wp:docPr id="8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16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/>
      </w:pPr>
      <w:r>
        <w:rPr>
          <w:rFonts w:eastAsia="TimesNewRomanPSMT" w:cs="Times New Roman"/>
          <w:sz w:val="28"/>
          <w:szCs w:val="28"/>
          <w:lang w:eastAsia="en-US"/>
        </w:rPr>
        <w:t xml:space="preserve">Подставим параметры в исходную схему и проведем </w:t>
      </w:r>
      <w:r>
        <w:rPr>
          <w:rFonts w:eastAsia="TimesNewRomanPSMT" w:cs="Times New Roman"/>
          <w:sz w:val="28"/>
          <w:szCs w:val="28"/>
          <w:lang w:val="en-US" w:eastAsia="en-US"/>
        </w:rPr>
        <w:t xml:space="preserve">DC-sweep </w:t>
      </w:r>
      <w:r>
        <w:rPr>
          <w:rFonts w:eastAsia="TimesNewRomanPSMT" w:cs="Times New Roman"/>
          <w:sz w:val="28"/>
          <w:szCs w:val="28"/>
          <w:lang w:eastAsia="en-US"/>
        </w:rPr>
        <w:t>анализ: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39465"/>
            <wp:effectExtent l="0" t="0" r="0" b="0"/>
            <wp:wrapSquare wrapText="largest"/>
            <wp:docPr id="9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Передаточная характеристика</w:t>
      </w:r>
    </w:p>
    <w:p>
      <w:pPr>
        <w:pStyle w:val="Normal"/>
        <w:spacing w:lineRule="auto" w:line="276"/>
        <w:ind w:hanging="0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val="en-US"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val="en-US"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871720" cy="2383790"/>
            <wp:effectExtent l="0" t="0" r="0" b="0"/>
            <wp:docPr id="10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График зависимости ток</w:t>
      </w: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val="ru-RU" w:eastAsia="en-US"/>
        </w:rPr>
        <w:t>ов</w:t>
      </w: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 xml:space="preserve"> базы и тока</w:t>
      </w: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val="ru-RU" w:eastAsia="en-US"/>
        </w:rPr>
        <w:t xml:space="preserve"> </w:t>
      </w: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val="en-US" w:eastAsia="en-US"/>
        </w:rPr>
        <w:t>к</w:t>
      </w: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val="en-AU" w:eastAsia="en-US"/>
        </w:rPr>
        <w:t>о</w:t>
      </w: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val="ru-RU" w:eastAsia="en-US"/>
        </w:rPr>
        <w:t>л</w:t>
      </w: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val="en-AU" w:eastAsia="en-US"/>
        </w:rPr>
        <w:t>л</w:t>
      </w: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val="ru-RU" w:eastAsia="en-US"/>
        </w:rPr>
        <w:t>ектора</w:t>
      </w: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val="ru-RU" w:eastAsia="en-US"/>
        </w:rPr>
        <w:t xml:space="preserve"> </w:t>
      </w: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от входного напряжения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eastAsia="en-US"/>
        </w:rPr>
        <w:t>Из графика можно найти Iб = 58.2 мкА, Iк = 6,9 мА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val="en-US" w:eastAsia="en-US"/>
        </w:rPr>
        <w:t>B</w:t>
      </w:r>
      <w:r>
        <w:rPr>
          <w:rFonts w:eastAsia="TimesNewRomanPSMT" w:cs="Times New Roman"/>
          <w:sz w:val="28"/>
          <w:szCs w:val="28"/>
          <w:lang w:eastAsia="en-US"/>
        </w:rPr>
        <w:t xml:space="preserve"> = </w:t>
      </w:r>
      <w:r>
        <w:rPr>
          <w:rFonts w:eastAsia="TimesNewRomanPSMT" w:cs="Times New Roman"/>
          <w:sz w:val="28"/>
          <w:szCs w:val="28"/>
          <w:lang w:val="en-US" w:eastAsia="en-US"/>
        </w:rPr>
        <w:t>Ik</w:t>
      </w:r>
      <w:r>
        <w:rPr>
          <w:rFonts w:eastAsia="TimesNewRomanPSMT" w:cs="Times New Roman"/>
          <w:sz w:val="28"/>
          <w:szCs w:val="28"/>
          <w:lang w:eastAsia="en-US"/>
        </w:rPr>
        <w:t>/</w:t>
      </w:r>
      <w:r>
        <w:rPr>
          <w:rFonts w:eastAsia="TimesNewRomanPSMT" w:cs="Times New Roman"/>
          <w:sz w:val="28"/>
          <w:szCs w:val="28"/>
          <w:lang w:val="en-US" w:eastAsia="en-US"/>
        </w:rPr>
        <w:t>I</w:t>
      </w:r>
      <w:r>
        <w:rPr>
          <w:rFonts w:eastAsia="TimesNewRomanPSMT" w:cs="Times New Roman"/>
          <w:sz w:val="28"/>
          <w:szCs w:val="28"/>
          <w:lang w:eastAsia="en-US"/>
        </w:rPr>
        <w:t>б = 6900 мка / 58.2 мка = 118.5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  <w:t>Исследование статического коэффициента усиления по току В</w:t>
      </w:r>
    </w:p>
    <w:p>
      <w:pPr>
        <w:pStyle w:val="Normal"/>
        <w:spacing w:lineRule="auto" w:line="276"/>
        <w:ind w:hanging="0"/>
        <w:rPr/>
      </w:pPr>
      <w:r>
        <w:rPr>
          <w:rFonts w:eastAsia="TimesNewRomanPSMT" w:cs="Times New Roman"/>
          <w:sz w:val="28"/>
          <w:szCs w:val="28"/>
          <w:lang w:eastAsia="en-US"/>
        </w:rPr>
        <w:t>Для  исследования в схеме необходимо менять Rк и сниматьзначения Jб, Jк и Uкэ. Также расчитываем коэффициент B = Jк/Jб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val="en-RU" w:eastAsia="en-US"/>
        </w:rPr>
      </w:pPr>
      <w:r>
        <w:rPr>
          <w:rFonts w:eastAsia="TimesNewRomanPSMT" w:cs="Times New Roman"/>
          <w:sz w:val="28"/>
          <w:szCs w:val="28"/>
          <w:lang w:val="en-RU"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228975"/>
            <wp:effectExtent l="0" t="0" r="0" b="0"/>
            <wp:wrapSquare wrapText="largest"/>
            <wp:docPr id="1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Схема для исследования статического коэффициента усиления по току В при различных Rк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TimesNewRomanPSMT" w:cs="Times New Roman"/>
          <w:sz w:val="28"/>
          <w:szCs w:val="28"/>
          <w:lang w:val="en-US" w:eastAsia="en-US"/>
        </w:rPr>
      </w:pPr>
      <w:r>
        <w:rPr>
          <w:rFonts w:eastAsia="TimesNewRomanPSMT" w:cs="Times New Roman"/>
          <w:sz w:val="28"/>
          <w:szCs w:val="28"/>
          <w:lang w:val="en-US" w:eastAsia="en-US"/>
        </w:rPr>
      </w:r>
    </w:p>
    <w:p>
      <w:pPr>
        <w:pStyle w:val="Normal"/>
        <w:spacing w:lineRule="auto" w:line="276"/>
        <w:rPr>
          <w:rFonts w:ascii="Calibri" w:hAnsi="Calibri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  <w:lang w:val="en-RU" w:eastAsia="en-GB"/>
        </w:rPr>
        <w:t>Исследование статического коэффициента усиления по току В при различных Rк</w:t>
      </w:r>
      <w:r>
        <w:rPr>
          <w:rFonts w:eastAsia="Times New Roman" w:cs="Times New Roman"/>
          <w:sz w:val="28"/>
          <w:szCs w:val="28"/>
          <w:lang w:eastAsia="en-GB"/>
        </w:rPr>
        <w:t>:</w:t>
      </w:r>
    </w:p>
    <w:tbl>
      <w:tblPr>
        <w:tblStyle w:val="TableGrid"/>
        <w:tblW w:w="934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865"/>
        <w:gridCol w:w="1877"/>
        <w:gridCol w:w="1869"/>
        <w:gridCol w:w="1864"/>
        <w:gridCol w:w="1869"/>
      </w:tblGrid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R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eastAsia="en-US" w:bidi="ar-SA"/>
              </w:rPr>
              <w:t>к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,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eastAsia="en-US" w:bidi="ar-SA"/>
              </w:rPr>
              <w:t xml:space="preserve"> Ом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U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кэ, мВ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б, мкА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</w:t>
            </w: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к, мА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B</w:t>
            </w:r>
          </w:p>
        </w:tc>
      </w:tr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8849,0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125,4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15,0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119,6</w:t>
            </w:r>
          </w:p>
        </w:tc>
      </w:tr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200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5989,1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125,4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eastAsia="en-US" w:bidi="ar-SA"/>
              </w:rPr>
              <w:t>15,0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119,6</w:t>
            </w:r>
          </w:p>
        </w:tc>
      </w:tr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410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182,7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125,6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13,6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108,2</w:t>
            </w:r>
          </w:p>
        </w:tc>
      </w:tr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1000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133,0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126,3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8,9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70,4</w:t>
            </w:r>
          </w:p>
        </w:tc>
      </w:tr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2000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102,2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127,4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4,4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34,6</w:t>
            </w:r>
          </w:p>
        </w:tc>
      </w:tr>
      <w:tr>
        <w:trPr/>
        <w:tc>
          <w:tcPr>
            <w:tcW w:w="186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5000</w:t>
            </w:r>
          </w:p>
        </w:tc>
        <w:tc>
          <w:tcPr>
            <w:tcW w:w="18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74,6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128,8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1,8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13,9</w:t>
            </w:r>
          </w:p>
        </w:tc>
      </w:tr>
    </w:tbl>
    <w:p>
      <w:pPr>
        <w:pStyle w:val="NormalWeb"/>
        <w:spacing w:lineRule="auto" w:line="276" w:before="280" w:after="280"/>
        <w:ind w:firstLine="708"/>
        <w:jc w:val="both"/>
        <w:rPr>
          <w:rFonts w:ascii="Calibri" w:hAnsi="Calibri" w:eastAsia="TimesNewRomanPSMT"/>
          <w:sz w:val="28"/>
          <w:szCs w:val="28"/>
          <w:lang w:val="ru-RU" w:eastAsia="en-US"/>
        </w:rPr>
      </w:pPr>
      <w:r>
        <w:rPr>
          <w:rFonts w:eastAsia="TimesNewRomanPSMT" w:ascii="Calibri" w:hAnsi="Calibri"/>
          <w:sz w:val="28"/>
          <w:szCs w:val="28"/>
          <w:lang w:val="ru-RU"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  <w:t>Исследование динамических характеристик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eastAsia="en-US"/>
        </w:rPr>
        <w:t xml:space="preserve">Рассмотрим изменение </w:t>
      </w:r>
      <w:r>
        <w:rPr>
          <w:rFonts w:eastAsia="TimesNewRomanPSMT" w:cs="Times New Roman"/>
          <w:sz w:val="28"/>
          <w:szCs w:val="28"/>
          <w:lang w:val="en-US" w:eastAsia="en-US"/>
        </w:rPr>
        <w:t>t</w:t>
      </w:r>
      <w:r>
        <w:rPr>
          <w:rFonts w:eastAsia="TimesNewRomanPSMT" w:cs="Times New Roman"/>
          <w:sz w:val="28"/>
          <w:szCs w:val="28"/>
          <w:vertAlign w:val="subscript"/>
          <w:lang w:eastAsia="en-US"/>
        </w:rPr>
        <w:t>ф</w:t>
      </w:r>
      <w:r>
        <w:rPr>
          <w:rFonts w:eastAsia="TimesNewRomanPSMT" w:cs="Times New Roman"/>
          <w:sz w:val="28"/>
          <w:szCs w:val="28"/>
          <w:lang w:eastAsia="en-US"/>
        </w:rPr>
        <w:t xml:space="preserve">, </w:t>
      </w:r>
      <w:r>
        <w:rPr>
          <w:rFonts w:eastAsia="TimesNewRomanPSMT" w:cs="Times New Roman"/>
          <w:sz w:val="28"/>
          <w:szCs w:val="28"/>
          <w:lang w:val="en-US" w:eastAsia="en-US"/>
        </w:rPr>
        <w:t>t</w:t>
      </w:r>
      <w:r>
        <w:rPr>
          <w:rFonts w:eastAsia="TimesNewRomanPSMT" w:cs="Times New Roman"/>
          <w:sz w:val="28"/>
          <w:szCs w:val="28"/>
          <w:vertAlign w:val="subscript"/>
          <w:lang w:eastAsia="en-US"/>
        </w:rPr>
        <w:t>рас</w:t>
      </w:r>
      <w:r>
        <w:rPr>
          <w:rFonts w:eastAsia="TimesNewRomanPSMT" w:cs="Times New Roman"/>
          <w:sz w:val="28"/>
          <w:szCs w:val="28"/>
          <w:lang w:eastAsia="en-US"/>
        </w:rPr>
        <w:t xml:space="preserve">, </w:t>
      </w:r>
      <w:r>
        <w:rPr>
          <w:rFonts w:eastAsia="TimesNewRomanPSMT" w:cs="Times New Roman"/>
          <w:sz w:val="28"/>
          <w:szCs w:val="28"/>
          <w:lang w:val="en-US" w:eastAsia="en-US"/>
        </w:rPr>
        <w:t>t</w:t>
      </w:r>
      <w:r>
        <w:rPr>
          <w:rFonts w:eastAsia="TimesNewRomanPSMT" w:cs="Times New Roman"/>
          <w:sz w:val="28"/>
          <w:szCs w:val="28"/>
          <w:vertAlign w:val="subscript"/>
          <w:lang w:eastAsia="en-US"/>
        </w:rPr>
        <w:t>с</w:t>
      </w:r>
      <w:r>
        <w:rPr>
          <w:rFonts w:eastAsia="TimesNewRomanPSMT" w:cs="Times New Roman"/>
          <w:sz w:val="28"/>
          <w:szCs w:val="28"/>
          <w:lang w:eastAsia="en-US"/>
        </w:rPr>
        <w:t xml:space="preserve"> при различном входном периодическом напряжении. Частоту генератора примем равной 1 КГц, сигнал прямоугольный.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704715" cy="2727325"/>
            <wp:effectExtent l="0" t="0" r="0" b="0"/>
            <wp:docPr id="12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Рассматриваемая схема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933950" cy="2647315"/>
            <wp:effectExtent l="0" t="0" r="0" b="0"/>
            <wp:docPr id="13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Измерение времени (Rk = 2200 Ом)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261485" cy="2711450"/>
            <wp:effectExtent l="0" t="0" r="0" b="0"/>
            <wp:docPr id="14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Измерение времени (Rk = 2200 Ом)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803775" cy="2105025"/>
            <wp:effectExtent l="0" t="0" r="0" b="0"/>
            <wp:docPr id="15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Измерение времени ( Rk = 2200 Ом)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eastAsia="en-US"/>
        </w:rPr>
        <w:t xml:space="preserve">Из рисунков выше можно найти </w:t>
      </w:r>
      <w:r>
        <w:rPr>
          <w:rFonts w:eastAsia="TimesNewRomanPSMT" w:cs="Times New Roman"/>
          <w:sz w:val="28"/>
          <w:szCs w:val="28"/>
          <w:lang w:val="en-US" w:eastAsia="en-US"/>
        </w:rPr>
        <w:t>t</w:t>
      </w:r>
      <w:r>
        <w:rPr>
          <w:rFonts w:eastAsia="TimesNewRomanPSMT" w:cs="Times New Roman"/>
          <w:sz w:val="28"/>
          <w:szCs w:val="28"/>
          <w:lang w:eastAsia="en-US"/>
        </w:rPr>
        <w:t xml:space="preserve">ф, </w:t>
      </w:r>
      <w:r>
        <w:rPr>
          <w:rFonts w:eastAsia="TimesNewRomanPSMT" w:cs="Times New Roman"/>
          <w:sz w:val="28"/>
          <w:szCs w:val="28"/>
          <w:lang w:val="en-US" w:eastAsia="en-US"/>
        </w:rPr>
        <w:t>t</w:t>
      </w:r>
      <w:r>
        <w:rPr>
          <w:rFonts w:eastAsia="TimesNewRomanPSMT" w:cs="Times New Roman"/>
          <w:sz w:val="28"/>
          <w:szCs w:val="28"/>
          <w:lang w:eastAsia="en-US"/>
        </w:rPr>
        <w:t xml:space="preserve">рас, </w:t>
      </w:r>
      <w:r>
        <w:rPr>
          <w:rFonts w:eastAsia="TimesNewRomanPSMT" w:cs="Times New Roman"/>
          <w:sz w:val="28"/>
          <w:szCs w:val="28"/>
          <w:lang w:val="en-US" w:eastAsia="en-US"/>
        </w:rPr>
        <w:t>t</w:t>
      </w:r>
      <w:r>
        <w:rPr>
          <w:rFonts w:eastAsia="TimesNewRomanPSMT" w:cs="Times New Roman"/>
          <w:sz w:val="28"/>
          <w:szCs w:val="28"/>
          <w:lang w:eastAsia="en-US"/>
        </w:rPr>
        <w:t>с. Найдем эти величины для разных значений амплитуды входного сигнала.</w:t>
      </w:r>
    </w:p>
    <w:p>
      <w:pPr>
        <w:pStyle w:val="Normal"/>
        <w:spacing w:lineRule="auto" w:line="276"/>
        <w:ind w:firstLine="709"/>
        <w:jc w:val="both"/>
        <w:rPr>
          <w:rFonts w:eastAsia="TimesNewRomanPSMT" w:cs="Times New Roman"/>
          <w:lang w:eastAsia="en-US"/>
        </w:rPr>
      </w:pPr>
      <w:r>
        <w:rPr>
          <w:rFonts w:eastAsia="TimesNewRomanPSMT" w:cs="Times New Roman"/>
          <w:lang w:eastAsia="en-US"/>
        </w:rPr>
      </w:r>
    </w:p>
    <w:tbl>
      <w:tblPr>
        <w:tblStyle w:val="TableGrid"/>
        <w:tblW w:w="76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14"/>
        <w:gridCol w:w="1914"/>
        <w:gridCol w:w="1914"/>
        <w:gridCol w:w="1913"/>
      </w:tblGrid>
      <w:tr>
        <w:trPr/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Ег, В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ф, мкс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рас, мкс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с, мкс</w:t>
            </w:r>
          </w:p>
        </w:tc>
      </w:tr>
      <w:tr>
        <w:trPr/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5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5,2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4,5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2,0</w:t>
            </w:r>
          </w:p>
        </w:tc>
      </w:tr>
      <w:tr>
        <w:trPr/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2,9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10,7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2,7</w:t>
            </w:r>
          </w:p>
        </w:tc>
      </w:tr>
      <w:tr>
        <w:trPr/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12.5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2,4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15,0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3,5</w:t>
            </w:r>
          </w:p>
        </w:tc>
      </w:tr>
      <w:tr>
        <w:trPr/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15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1,8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19,1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3,4</w:t>
            </w:r>
          </w:p>
        </w:tc>
      </w:tr>
    </w:tbl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eastAsia="en-US"/>
        </w:rPr>
        <w:t>Из таблицы видно, что при увеличении амплитуды входного сигнала время рассасывания электронов увеличивается и длительность среза увеличиваются, а длительность фронта уменьшается.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b/>
          <w:bCs/>
          <w:sz w:val="28"/>
          <w:szCs w:val="28"/>
          <w:lang w:eastAsia="en-US"/>
        </w:rPr>
        <w:t>Аналитический расчет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936365" cy="1055370"/>
            <wp:effectExtent l="0" t="0" r="0" b="0"/>
            <wp:docPr id="16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053715" cy="379730"/>
            <wp:effectExtent l="0" t="0" r="0" b="0"/>
            <wp:docPr id="17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2530475" cy="638175"/>
            <wp:effectExtent l="0" t="0" r="0" b="0"/>
            <wp:docPr id="18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2529840" cy="493395"/>
            <wp:effectExtent l="0" t="0" r="0" b="0"/>
            <wp:docPr id="19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2529205" cy="551815"/>
            <wp:effectExtent l="0" t="0" r="0" b="0"/>
            <wp:docPr id="20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1320165" cy="480695"/>
            <wp:effectExtent l="0" t="0" r="0" b="0"/>
            <wp:docPr id="21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250565" cy="638175"/>
            <wp:effectExtent l="0" t="0" r="0" b="0"/>
            <wp:docPr id="22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249295" cy="522605"/>
            <wp:effectExtent l="0" t="0" r="0" b="0"/>
            <wp:docPr id="23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3248025" cy="678180"/>
            <wp:effectExtent l="0" t="0" r="0" b="0"/>
            <wp:docPr id="24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val="en-US" w:eastAsia="en-US"/>
        </w:rPr>
      </w:pPr>
      <w:r>
        <w:rPr>
          <w:rFonts w:eastAsia="TimesNewRomanPSMT" w:cs="Times New Roman"/>
          <w:sz w:val="28"/>
          <w:szCs w:val="28"/>
          <w:lang w:val="en-US"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/>
          <w:sz w:val="28"/>
          <w:szCs w:val="28"/>
          <w:lang w:eastAsia="en-US"/>
        </w:rPr>
        <w:t>Сравнительная таблица</w:t>
      </w:r>
    </w:p>
    <w:tbl>
      <w:tblPr>
        <w:tblStyle w:val="TableGrid"/>
        <w:tblW w:w="934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08"/>
        <w:gridCol w:w="1853"/>
        <w:gridCol w:w="1863"/>
        <w:gridCol w:w="1862"/>
        <w:gridCol w:w="1858"/>
      </w:tblGrid>
      <w:tr>
        <w:trPr/>
        <w:tc>
          <w:tcPr>
            <w:tcW w:w="19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</w:r>
          </w:p>
        </w:tc>
        <w:tc>
          <w:tcPr>
            <w:tcW w:w="18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Ег, В</w:t>
            </w:r>
          </w:p>
        </w:tc>
        <w:tc>
          <w:tcPr>
            <w:tcW w:w="186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тф, мкс</w:t>
            </w:r>
          </w:p>
        </w:tc>
        <w:tc>
          <w:tcPr>
            <w:tcW w:w="186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eastAsia="en-US" w:bidi="ar-SA"/>
              </w:rPr>
              <w:t>рас, мкс</w:t>
            </w:r>
          </w:p>
        </w:tc>
        <w:tc>
          <w:tcPr>
            <w:tcW w:w="185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eastAsia="en-US" w:bidi="ar-SA"/>
              </w:rPr>
              <w:t>с, мкс</w:t>
            </w:r>
          </w:p>
        </w:tc>
      </w:tr>
      <w:tr>
        <w:trPr/>
        <w:tc>
          <w:tcPr>
            <w:tcW w:w="19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Замеренные значения</w:t>
            </w:r>
          </w:p>
        </w:tc>
        <w:tc>
          <w:tcPr>
            <w:tcW w:w="18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86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2,9</w:t>
            </w:r>
          </w:p>
        </w:tc>
        <w:tc>
          <w:tcPr>
            <w:tcW w:w="186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10,7</w:t>
            </w:r>
          </w:p>
        </w:tc>
        <w:tc>
          <w:tcPr>
            <w:tcW w:w="185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2,7</w:t>
            </w:r>
          </w:p>
        </w:tc>
      </w:tr>
      <w:tr>
        <w:trPr/>
        <w:tc>
          <w:tcPr>
            <w:tcW w:w="19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Вычисленные значения</w:t>
            </w:r>
          </w:p>
        </w:tc>
        <w:tc>
          <w:tcPr>
            <w:tcW w:w="18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86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1,6</w:t>
            </w:r>
          </w:p>
        </w:tc>
        <w:tc>
          <w:tcPr>
            <w:tcW w:w="186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22</w:t>
            </w:r>
          </w:p>
        </w:tc>
        <w:tc>
          <w:tcPr>
            <w:tcW w:w="185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3,3</w:t>
            </w:r>
          </w:p>
        </w:tc>
      </w:tr>
      <w:tr>
        <w:trPr/>
        <w:tc>
          <w:tcPr>
            <w:tcW w:w="19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Разница</w:t>
            </w:r>
          </w:p>
        </w:tc>
        <w:tc>
          <w:tcPr>
            <w:tcW w:w="18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0</w:t>
            </w:r>
          </w:p>
        </w:tc>
        <w:tc>
          <w:tcPr>
            <w:tcW w:w="186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1,3</w:t>
            </w:r>
          </w:p>
        </w:tc>
        <w:tc>
          <w:tcPr>
            <w:tcW w:w="186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11,3</w:t>
            </w:r>
          </w:p>
        </w:tc>
        <w:tc>
          <w:tcPr>
            <w:tcW w:w="185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0,6</w:t>
            </w:r>
          </w:p>
        </w:tc>
      </w:tr>
    </w:tbl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  <w:t>Влияние форсирующего конденсатора на параметры переходных процессов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Calibri" w:cs="Times New Roman" w:eastAsiaTheme="minorHAnsi"/>
          <w:bCs/>
          <w:sz w:val="28"/>
          <w:szCs w:val="28"/>
          <w:lang w:eastAsia="en-US"/>
        </w:rPr>
      </w:pPr>
      <w:r>
        <w:rPr>
          <w:rFonts w:eastAsia="Calibri" w:cs="Times New Roman" w:eastAsiaTheme="minorHAnsi"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827905" cy="2881630"/>
            <wp:effectExtent l="0" t="0" r="0" b="0"/>
            <wp:docPr id="25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Схема для исследования влияния форсирующего конденсатора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5570855" cy="2434590"/>
            <wp:effectExtent l="0" t="0" r="0" b="0"/>
            <wp:docPr id="26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Влияние на динамические характеристики форсирующего конденсатора 20pF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5428615" cy="1765300"/>
            <wp:effectExtent l="0" t="0" r="0" b="0"/>
            <wp:docPr id="27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Влияние на динамические характеристики форсирующего конденсатора 40pF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/>
      </w:pPr>
      <w:r>
        <w:rPr>
          <w:rFonts w:eastAsia="TimesNewRomanPSMT" w:cs="Times New Roman"/>
          <w:sz w:val="28"/>
          <w:szCs w:val="28"/>
          <w:lang w:eastAsia="en-US"/>
        </w:rPr>
        <w:t>Как видно, при увеличении форсирующей емкости уменьшается время длительности фронта и время рассасывания электронов.</w:t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  <w:t>Влияние ёмкостной нагрузки на параметры переходных процессов</w:t>
      </w:r>
    </w:p>
    <w:p>
      <w:pPr>
        <w:pStyle w:val="Normal"/>
        <w:spacing w:lineRule="auto" w:line="276"/>
        <w:ind w:firstLine="709"/>
        <w:jc w:val="center"/>
        <w:rPr/>
      </w:pPr>
      <w:r>
        <w:rPr/>
        <w:drawing>
          <wp:inline distT="0" distB="0" distL="0" distR="0">
            <wp:extent cx="4172585" cy="2427605"/>
            <wp:effectExtent l="0" t="0" r="0" b="0"/>
            <wp:docPr id="28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Схема для исследования влияния емкостной нагрузки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5475605" cy="2265680"/>
            <wp:effectExtent l="0" t="0" r="0" b="0"/>
            <wp:docPr id="29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Влияние на динамические характеристики емкости нагрузки 500pF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5010150" cy="2006600"/>
            <wp:effectExtent l="0" t="0" r="0" b="0"/>
            <wp:docPr id="30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Влияние на динамические характеристики емкости нагрузки 2nF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5126990" cy="2019300"/>
            <wp:effectExtent l="0" t="0" r="0" b="0"/>
            <wp:docPr id="31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Влияние на динамические характеристики емкости нагрузки 10nF</w:t>
      </w:r>
    </w:p>
    <w:p>
      <w:pPr>
        <w:pStyle w:val="Normal"/>
        <w:spacing w:lineRule="auto" w:line="276"/>
        <w:ind w:firstLine="709"/>
        <w:jc w:val="center"/>
        <w:rPr>
          <w:rFonts w:eastAsia="TimesNewRomanPSMT" w:cs="Times New Roman"/>
          <w:lang w:eastAsia="en-US"/>
        </w:rPr>
      </w:pPr>
      <w:r>
        <w:rPr>
          <w:rFonts w:eastAsia="TimesNewRomanPSMT" w:cs="Times New Roman"/>
          <w:lang w:eastAsia="en-US"/>
        </w:rPr>
      </w:r>
    </w:p>
    <w:tbl>
      <w:tblPr>
        <w:tblStyle w:val="TableGrid"/>
        <w:tblW w:w="934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332"/>
        <w:gridCol w:w="2336"/>
        <w:gridCol w:w="2340"/>
        <w:gridCol w:w="2335"/>
      </w:tblGrid>
      <w:tr>
        <w:trPr/>
        <w:tc>
          <w:tcPr>
            <w:tcW w:w="23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eastAsia="en-US" w:bidi="ar-SA"/>
              </w:rPr>
              <w:t xml:space="preserve">С, 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p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eastAsia="en-US" w:bidi="ar-SA"/>
              </w:rPr>
              <w:t>F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ru-RU" w:eastAsia="en-US" w:bidi="ar-SA"/>
              </w:rPr>
              <w:t>тф, мкс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eastAsia="en-US" w:bidi="ar-SA"/>
              </w:rPr>
              <w:t>рас, мкс</w:t>
            </w:r>
          </w:p>
        </w:tc>
        <w:tc>
          <w:tcPr>
            <w:tcW w:w="233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/>
                <w:kern w:val="0"/>
                <w:sz w:val="28"/>
                <w:szCs w:val="28"/>
                <w:lang w:eastAsia="en-US" w:bidi="ar-SA"/>
              </w:rPr>
              <w:t>с, мкс</w:t>
            </w:r>
          </w:p>
        </w:tc>
      </w:tr>
      <w:tr>
        <w:trPr/>
        <w:tc>
          <w:tcPr>
            <w:tcW w:w="23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0,5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3,4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7,5</w:t>
            </w:r>
          </w:p>
        </w:tc>
        <w:tc>
          <w:tcPr>
            <w:tcW w:w="233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3,7</w:t>
            </w:r>
          </w:p>
        </w:tc>
      </w:tr>
      <w:tr>
        <w:trPr/>
        <w:tc>
          <w:tcPr>
            <w:tcW w:w="23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2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5,0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7,1</w:t>
            </w:r>
          </w:p>
        </w:tc>
        <w:tc>
          <w:tcPr>
            <w:tcW w:w="233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9,4</w:t>
            </w:r>
          </w:p>
        </w:tc>
      </w:tr>
      <w:tr>
        <w:trPr/>
        <w:tc>
          <w:tcPr>
            <w:tcW w:w="233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10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10,3</w:t>
            </w:r>
          </w:p>
        </w:tc>
        <w:tc>
          <w:tcPr>
            <w:tcW w:w="234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7,3</w:t>
            </w:r>
          </w:p>
        </w:tc>
        <w:tc>
          <w:tcPr>
            <w:tcW w:w="233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/>
                <w:kern w:val="0"/>
                <w:sz w:val="28"/>
                <w:szCs w:val="28"/>
                <w:lang w:val="en-US" w:eastAsia="en-US" w:bidi="ar-SA"/>
              </w:rPr>
              <w:t>16,4</w:t>
            </w:r>
          </w:p>
        </w:tc>
      </w:tr>
    </w:tbl>
    <w:p>
      <w:pPr>
        <w:pStyle w:val="Normal"/>
        <w:spacing w:lineRule="auto" w:line="276"/>
        <w:ind w:firstLine="709"/>
        <w:rPr>
          <w:rFonts w:ascii="Calibri" w:hAnsi="Calibri" w:eastAsia="TimesNewRomanPSMT" w:cs="Times New Roman"/>
          <w:sz w:val="28"/>
          <w:szCs w:val="28"/>
          <w:lang w:val="en-US" w:eastAsia="en-US"/>
        </w:rPr>
      </w:pPr>
      <w:r>
        <w:rPr>
          <w:rFonts w:eastAsia="TimesNewRomanPSMT" w:cs="Times New Roman"/>
          <w:sz w:val="28"/>
          <w:szCs w:val="28"/>
          <w:lang w:val="en-US" w:eastAsia="en-US"/>
        </w:rPr>
      </w:r>
    </w:p>
    <w:p>
      <w:pPr>
        <w:pStyle w:val="Normal"/>
        <w:spacing w:lineRule="auto" w:line="276"/>
        <w:ind w:firstLine="709"/>
        <w:rPr/>
      </w:pPr>
      <w:r>
        <w:rPr>
          <w:rFonts w:eastAsia="TimesNewRomanPSMT" w:cs="Times New Roman"/>
          <w:sz w:val="28"/>
          <w:szCs w:val="28"/>
          <w:lang w:eastAsia="en-US"/>
        </w:rPr>
        <w:t>Как видно, при увеличении нагрузочной емкости не изменяется время рассасывания и увеличиваются остальные временные параметры.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eastAsia="Calibri" w:cs="Times New Roman" w:eastAsiaTheme="minorHAnsi"/>
          <w:b/>
          <w:b/>
          <w:bCs/>
          <w:lang w:eastAsia="en-US"/>
        </w:rPr>
      </w:pPr>
      <w:r>
        <w:rPr>
          <w:rFonts w:eastAsia="Calibri" w:cs="Times New Roman" w:eastAsiaTheme="minorHAnsi"/>
          <w:b/>
          <w:bCs/>
          <w:lang w:eastAsia="en-US"/>
        </w:rPr>
      </w:r>
      <w:r>
        <w:br w:type="page"/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b/>
          <w:bCs/>
          <w:sz w:val="28"/>
          <w:szCs w:val="28"/>
          <w:lang w:eastAsia="en-US"/>
        </w:rPr>
        <w:t>Инверсное запирание ключа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Calibri" w:cs="Times New Roman" w:eastAsiaTheme="minorHAnsi"/>
          <w:bCs/>
          <w:sz w:val="28"/>
          <w:szCs w:val="28"/>
          <w:lang w:val="en-US" w:eastAsia="en-US"/>
        </w:rPr>
      </w:pPr>
      <w:r>
        <w:rPr>
          <w:rFonts w:eastAsia="Calibri" w:cs="Times New Roman" w:eastAsiaTheme="minorHAnsi"/>
          <w:bCs/>
          <w:sz w:val="28"/>
          <w:szCs w:val="28"/>
          <w:lang w:val="en-US"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454525" cy="2530475"/>
            <wp:effectExtent l="0" t="0" r="0" b="0"/>
            <wp:docPr id="32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Схема для исследования работы ключа с инверсным запиранием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/>
        <w:drawing>
          <wp:inline distT="0" distB="0" distL="0" distR="0">
            <wp:extent cx="4639945" cy="2030730"/>
            <wp:effectExtent l="0" t="0" r="0" b="0"/>
            <wp:docPr id="33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  <w:t>работа ключа с инверсным запиранием</w:t>
      </w:r>
    </w:p>
    <w:p>
      <w:pPr>
        <w:pStyle w:val="Normal"/>
        <w:spacing w:lineRule="auto" w:line="276"/>
        <w:ind w:firstLine="708"/>
        <w:jc w:val="both"/>
        <w:rPr/>
      </w:pPr>
      <w:r>
        <w:rPr>
          <w:rFonts w:eastAsia="TimesNewRomanPSMT" w:cs="Times New Roman"/>
          <w:sz w:val="28"/>
          <w:szCs w:val="28"/>
          <w:lang w:eastAsia="en-US"/>
        </w:rPr>
        <w:t xml:space="preserve">При инверсном запирании эмиттерный переход закрывается раньше коллекторного. В этом случае рассасывание заряда происходит сначала у эмиттерного перехода. Ток коллектора увеличивается, а ток эмиттера уменьшается, ток базы не меняется. 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/>
      </w:pPr>
      <w:r>
        <w:rPr>
          <w:rFonts w:eastAsia="TimesNewRomanPSMT" w:cs="Times New Roman"/>
          <w:b/>
          <w:sz w:val="28"/>
          <w:szCs w:val="28"/>
          <w:lang w:eastAsia="en-US"/>
        </w:rPr>
        <w:t>Вывод:</w:t>
      </w:r>
      <w:r>
        <w:rPr>
          <w:rFonts w:eastAsia="TimesNewRomanPSMT" w:cs="Times New Roman"/>
          <w:sz w:val="28"/>
          <w:szCs w:val="28"/>
          <w:lang w:eastAsia="en-US"/>
        </w:rPr>
        <w:t xml:space="preserve"> В данной лабораторной работе были исследованы статические режимы и переходные процессы в схеме простого транзисторного ключа. Изучены зависимости τ</w:t>
      </w:r>
      <w:r>
        <w:rPr>
          <w:rFonts w:eastAsia="TimesNewRomanPSMT" w:cs="Times New Roman"/>
          <w:sz w:val="28"/>
          <w:szCs w:val="28"/>
          <w:vertAlign w:val="subscript"/>
          <w:lang w:eastAsia="en-US"/>
        </w:rPr>
        <w:t>ф</w:t>
      </w:r>
      <w:r>
        <w:rPr>
          <w:rFonts w:eastAsia="TimesNewRomanPSMT" w:cs="Times New Roman"/>
          <w:sz w:val="28"/>
          <w:szCs w:val="28"/>
          <w:lang w:eastAsia="en-US"/>
        </w:rPr>
        <w:t>, τ</w:t>
      </w:r>
      <w:r>
        <w:rPr>
          <w:rFonts w:eastAsia="TimesNewRomanPSMT" w:cs="Times New Roman"/>
          <w:sz w:val="28"/>
          <w:szCs w:val="28"/>
          <w:vertAlign w:val="subscript"/>
          <w:lang w:eastAsia="en-US"/>
        </w:rPr>
        <w:t>рас</w:t>
      </w:r>
      <w:r>
        <w:rPr>
          <w:rFonts w:eastAsia="TimesNewRomanPSMT" w:cs="Times New Roman"/>
          <w:sz w:val="28"/>
          <w:szCs w:val="28"/>
          <w:lang w:eastAsia="en-US"/>
        </w:rPr>
        <w:t>, τ</w:t>
      </w:r>
      <w:r>
        <w:rPr>
          <w:rFonts w:eastAsia="TimesNewRomanPSMT" w:cs="Times New Roman"/>
          <w:sz w:val="28"/>
          <w:szCs w:val="28"/>
          <w:vertAlign w:val="subscript"/>
          <w:lang w:eastAsia="en-US"/>
        </w:rPr>
        <w:t>ср</w:t>
      </w:r>
      <w:r>
        <w:rPr>
          <w:rFonts w:eastAsia="TimesNewRomanPSMT" w:cs="Times New Roman"/>
          <w:sz w:val="28"/>
          <w:szCs w:val="28"/>
          <w:lang w:eastAsia="en-US"/>
        </w:rPr>
        <w:t xml:space="preserve"> от входного напряжения и емкости нагрузочного или форсирующего конденсатора, а также рассмотрен режим инверсного запирания ключа.</w:t>
      </w:r>
    </w:p>
    <w:sectPr>
      <w:footerReference w:type="default" r:id="rId35"/>
      <w:type w:val="nextPage"/>
      <w:pgSz w:w="11906" w:h="16838"/>
      <w:pgMar w:left="1701" w:right="851" w:header="0" w:top="1134" w:footer="709" w:bottom="1134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jc w:val="center"/>
      <w:rPr/>
    </w:pPr>
    <w:r>
      <w:rPr/>
    </w:r>
  </w:p>
  <w:p>
    <w:pPr>
      <w:pStyle w:val="Style21"/>
      <w:rPr/>
    </w:pPr>
    <w:r>
      <w:rPr/>
    </w:r>
  </w:p>
</w:ftr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65d52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Arial" w:asciiTheme="minorHAnsi" w:eastAsiaTheme="minorHAnsi" w:hAnsiTheme="minorHAnsi"/>
      <w:color w:val="auto"/>
      <w:kern w:val="0"/>
      <w:sz w:val="20"/>
      <w:szCs w:val="20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d6d7d"/>
    <w:rPr>
      <w:rFonts w:ascii="Tahoma" w:hAnsi="Tahoma" w:eastAsia="Calibri" w:cs="Tahoma"/>
      <w:sz w:val="16"/>
      <w:szCs w:val="16"/>
      <w:lang w:eastAsia="ru-RU"/>
    </w:rPr>
  </w:style>
  <w:style w:type="character" w:styleId="HeaderChar" w:customStyle="1">
    <w:name w:val="Header Char"/>
    <w:basedOn w:val="DefaultParagraphFont"/>
    <w:link w:val="Header"/>
    <w:uiPriority w:val="99"/>
    <w:semiHidden/>
    <w:qFormat/>
    <w:rsid w:val="00dc344d"/>
    <w:rPr>
      <w:rFonts w:ascii="Calibri" w:hAnsi="Calibri" w:eastAsia="Calibri" w:cs="Arial"/>
      <w:sz w:val="20"/>
      <w:szCs w:val="20"/>
      <w:lang w:eastAsia="ru-RU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dc344d"/>
    <w:rPr>
      <w:rFonts w:ascii="Calibri" w:hAnsi="Calibri" w:eastAsia="Calibri" w:cs="Arial"/>
      <w:sz w:val="20"/>
      <w:szCs w:val="20"/>
      <w:lang w:eastAsia="ru-RU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qFormat/>
    <w:rsid w:val="009536c2"/>
    <w:rPr>
      <w:rFonts w:ascii="Tahoma" w:hAnsi="Tahoma" w:eastAsia="Calibri" w:cs="Tahoma"/>
      <w:sz w:val="16"/>
      <w:szCs w:val="16"/>
      <w:lang w:eastAsia="ru-RU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Default" w:customStyle="1">
    <w:name w:val="Default"/>
    <w:qFormat/>
    <w:rsid w:val="00465d52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ru-RU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d6d7d"/>
    <w:pPr/>
    <w:rPr>
      <w:rFonts w:ascii="Tahoma" w:hAnsi="Tahoma" w:cs="Tahoma"/>
      <w:sz w:val="16"/>
      <w:szCs w:val="16"/>
    </w:rPr>
  </w:style>
  <w:style w:type="paragraph" w:styleId="Style19">
    <w:name w:val="Верхний и нижний колонтитулы"/>
    <w:basedOn w:val="Normal"/>
    <w:qFormat/>
    <w:pPr/>
    <w:rPr/>
  </w:style>
  <w:style w:type="paragraph" w:styleId="Style20">
    <w:name w:val="Header"/>
    <w:basedOn w:val="Normal"/>
    <w:link w:val="HeaderChar"/>
    <w:uiPriority w:val="99"/>
    <w:semiHidden/>
    <w:unhideWhenUsed/>
    <w:rsid w:val="00dc344d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1">
    <w:name w:val="Footer"/>
    <w:basedOn w:val="Normal"/>
    <w:link w:val="FooterChar"/>
    <w:uiPriority w:val="99"/>
    <w:unhideWhenUsed/>
    <w:rsid w:val="00dc344d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ListParagraph">
    <w:name w:val="List Paragraph"/>
    <w:basedOn w:val="Normal"/>
    <w:uiPriority w:val="34"/>
    <w:qFormat/>
    <w:rsid w:val="008c4dd6"/>
    <w:pPr>
      <w:spacing w:before="0" w:after="0"/>
      <w:ind w:left="720" w:hanging="0"/>
      <w:contextualSpacing/>
    </w:pPr>
    <w:rPr/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9536c2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dd1c7b"/>
    <w:pPr>
      <w:spacing w:beforeAutospacing="1" w:afterAutospacing="1"/>
    </w:pPr>
    <w:rPr>
      <w:rFonts w:ascii="Times New Roman" w:hAnsi="Times New Roman" w:eastAsia="Times New Roman" w:cs="Times New Roman"/>
      <w:sz w:val="24"/>
      <w:szCs w:val="24"/>
      <w:lang w:val="en-RU" w:eastAsia="en-GB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bd2786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wmf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wmf"/><Relationship Id="rId15" Type="http://schemas.openxmlformats.org/officeDocument/2006/relationships/image" Target="media/image14.wmf"/><Relationship Id="rId16" Type="http://schemas.openxmlformats.org/officeDocument/2006/relationships/image" Target="media/image15.wmf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wmf"/><Relationship Id="rId28" Type="http://schemas.openxmlformats.org/officeDocument/2006/relationships/image" Target="media/image27.wmf"/><Relationship Id="rId29" Type="http://schemas.openxmlformats.org/officeDocument/2006/relationships/image" Target="media/image28.png"/><Relationship Id="rId30" Type="http://schemas.openxmlformats.org/officeDocument/2006/relationships/image" Target="media/image29.wmf"/><Relationship Id="rId31" Type="http://schemas.openxmlformats.org/officeDocument/2006/relationships/image" Target="media/image30.wmf"/><Relationship Id="rId32" Type="http://schemas.openxmlformats.org/officeDocument/2006/relationships/image" Target="media/image31.wmf"/><Relationship Id="rId33" Type="http://schemas.openxmlformats.org/officeDocument/2006/relationships/image" Target="media/image32.png"/><Relationship Id="rId34" Type="http://schemas.openxmlformats.org/officeDocument/2006/relationships/image" Target="media/image33.wmf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<Relationship Id="rId3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C88680-9948-43DD-9306-0A6BA025B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LibreOffice/7.0.1.2$Windows_x86 LibreOffice_project/7cbcfc562f6eb6708b5ff7d7397325de9e764452</Application>
  <Pages>11</Pages>
  <Words>576</Words>
  <Characters>3649</Characters>
  <CharactersWithSpaces>4092</CharactersWithSpaces>
  <Paragraphs>182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2021-04-10T09:12:00Z</dcterms:created>
  <dc:creator>GORD</dc:creator>
  <dc:description/>
  <dc:language>ru-RU</dc:language>
  <cp:lastModifiedBy/>
  <dcterms:modified xsi:type="dcterms:W3CDTF">2021-04-22T12:06:18Z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