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586" w:after="126"/>
        <w:ind w:left="0" w:right="0" w:hanging="0"/>
        <w:jc w:val="center"/>
        <w:rPr/>
      </w:pPr>
      <w:r>
        <w:rPr>
          <w:b/>
          <w:smallCaps/>
          <w:sz w:val="40"/>
          <w:szCs w:val="40"/>
          <w:highlight w:val="white"/>
        </w:rPr>
        <w:t>ОТЧЕТ</w:t>
      </w:r>
    </w:p>
    <w:p>
      <w:pPr>
        <w:pStyle w:val="Normal1"/>
        <w:widowControl w:val="false"/>
        <w:pBdr/>
        <w:shd w:val="clear" w:fill="FFFFFF"/>
        <w:spacing w:lineRule="auto" w:line="240" w:before="586" w:after="126"/>
        <w:ind w:left="0" w:right="0" w:hanging="0"/>
        <w:jc w:val="center"/>
        <w:rPr>
          <w:b/>
          <w:b/>
          <w:smallCaps/>
          <w:sz w:val="40"/>
          <w:szCs w:val="40"/>
          <w:highlight w:val="white"/>
        </w:rPr>
      </w:pPr>
      <w:r>
        <w:rPr/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3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2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</w:rPr>
        <w:t>Ключевой режим работы</w:t>
      </w:r>
      <w:r>
        <w:rPr>
          <w:b w:val="false"/>
          <w:bCs w:val="false"/>
          <w:sz w:val="32"/>
          <w:szCs w:val="32"/>
          <w:highlight w:val="white"/>
          <w:u w:val="single"/>
          <w:lang w:val="ru-RU"/>
        </w:rPr>
        <w:t xml:space="preserve"> транзистора</w:t>
      </w:r>
    </w:p>
    <w:p>
      <w:pPr>
        <w:pStyle w:val="Normal1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Электроника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5"/>
        <w:gridCol w:w="1579"/>
        <w:gridCol w:w="1823"/>
        <w:gridCol w:w="2212"/>
        <w:gridCol w:w="2156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sectPr>
      <w:headerReference w:type="default" r:id="rId3"/>
      <w:type w:val="nextPage"/>
      <w:pgSz w:w="11906" w:h="16838"/>
      <w:pgMar w:left="1418" w:right="567" w:header="720" w:top="851" w:footer="0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1"/>
    <w:qFormat/>
    <w:pPr>
      <w:jc w:val="center"/>
    </w:pPr>
    <w:rPr>
      <w:i/>
      <w:sz w:val="26"/>
      <w:szCs w:val="26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LibreOffice/7.0.1.2$Windows_x86 LibreOffice_project/7cbcfc562f6eb6708b5ff7d7397325de9e764452</Application>
  <Pages>1</Pages>
  <Words>74</Words>
  <Characters>594</Characters>
  <CharactersWithSpaces>646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2021-04-15T11:05:45Z</dcterms:modified>
  <cp:revision>4</cp:revision>
  <dc:subject/>
  <dc:title/>
</cp:coreProperties>
</file>