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r>
        <w:rPr/>
        <w:t xml:space="preserve">Сложные: </w:t>
      </w:r>
      <w:r>
        <w:rPr>
          <w:lang w:val="en-US"/>
        </w:rPr>
        <w:t>7, 8</w:t>
      </w:r>
      <w:r>
        <w:rPr>
          <w:lang w:val="ru-RU"/>
        </w:rPr>
        <w:t xml:space="preserve">, </w:t>
      </w:r>
      <w:r>
        <w:rPr>
          <w:lang w:val="en-US"/>
        </w:rPr>
        <w:t>10(</w:t>
      </w:r>
      <w:r>
        <w:rPr>
          <w:lang w:val="ru-RU"/>
        </w:rPr>
        <w:t>наверное доп. Вопрос</w:t>
      </w:r>
      <w:r>
        <w:rPr>
          <w:lang w:val="en-US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 xml:space="preserve">21(4 </w:t>
      </w:r>
      <w:r>
        <w:rPr>
          <w:lang w:val="ru-RU"/>
        </w:rPr>
        <w:t xml:space="preserve">пункт), </w:t>
      </w:r>
      <w:r>
        <w:rPr>
          <w:lang w:val="en-US"/>
        </w:rPr>
        <w:t xml:space="preserve"> </w:t>
      </w:r>
      <w:r>
        <w:br w:type="page"/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5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5"/>
        <w:bidi w:val="0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5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5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5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5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2"/>
        </w:numPr>
        <w:bidi w:val="0"/>
        <w:jc w:val="left"/>
        <w:rPr>
          <w:u w:val="single"/>
        </w:rPr>
      </w:pPr>
      <w:r>
        <w:rPr>
          <w:rFonts w:ascii="sans-serif" w:hAnsi="sans-serif"/>
          <w:sz w:val="30"/>
        </w:rPr>
        <w:t>13.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5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</w:rPr>
        <w:t>14. Свойства счетных множеств. Равномощные множества</w:t>
      </w:r>
      <w:r>
        <w:rPr/>
        <w:t xml:space="preserve"> 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5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5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5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5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5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5"/>
        <w:bidi w:val="0"/>
        <w:rPr/>
      </w:pPr>
      <w:r>
        <w:rPr/>
        <w:t>U = {u1, u2, …, un}</w:t>
      </w:r>
    </w:p>
    <w:p>
      <w:pPr>
        <w:pStyle w:val="Style15"/>
        <w:bidi w:val="0"/>
        <w:rPr/>
      </w:pPr>
      <w:r>
        <w:rPr/>
        <w:t>X = {x1, x2, …, xn}</w:t>
      </w:r>
    </w:p>
    <w:p>
      <w:pPr>
        <w:pStyle w:val="Style15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rPr>
          <w:lang w:val="en-US"/>
        </w:rPr>
      </w:pPr>
      <w:r>
        <w:rPr>
          <w:rFonts w:ascii="sans-serif" w:hAnsi="sans-serif"/>
          <w:sz w:val="30"/>
          <w:lang w:val="ru-RU"/>
        </w:rPr>
        <w:t>23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5"/>
        <w:rPr>
          <w:lang w:val="en-US"/>
        </w:rPr>
      </w:pPr>
      <w:r>
        <w:rPr>
          <w:u w:val="single"/>
          <w:lang w:val="ru-RU"/>
        </w:rPr>
        <w:t>М</w:t>
      </w:r>
      <w:r>
        <w:rPr>
          <w:u w:val="single"/>
          <w:lang w:val="ru-RU"/>
        </w:rPr>
        <w:t>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rPr>
          <w:lang w:val="en-US"/>
        </w:rPr>
      </w:pPr>
      <w:r>
        <w:rPr>
          <w:rFonts w:ascii="sans-serif" w:hAnsi="sans-serif"/>
          <w:sz w:val="30"/>
          <w:lang w:val="ru-RU"/>
        </w:rPr>
        <w:t>26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5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5"/>
        <w:rPr>
          <w:lang w:val="en-US"/>
        </w:rPr>
      </w:pPr>
      <w:r>
        <w:rPr/>
        <w:t>_________________________________</w:t>
      </w:r>
    </w:p>
    <w:p>
      <w:pPr>
        <w:pStyle w:val="Style15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LibreOffice/7.0.1.2$Windows_x86 LibreOffice_project/7cbcfc562f6eb6708b5ff7d7397325de9e764452</Application>
  <Pages>4</Pages>
  <Words>289</Words>
  <Characters>1969</Characters>
  <CharactersWithSpaces>2266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2021-06-25T14:08:04Z</dcterms:modified>
  <cp:revision>14</cp:revision>
  <dc:subject/>
  <dc:title/>
</cp:coreProperties>
</file>