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before="240" w:after="120"/>
            <w:rPr/>
          </w:pPr>
          <w:r>
            <w:rPr/>
            <w:t>Оглавление</w:t>
          </w:r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35_968267187">
            <w:r>
              <w:rPr/>
              <w:t>1) Энергетические диаграммы диэлектриков, проводников и полупроводников. Основные понятия.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45_968267187">
            <w:r>
              <w:rPr/>
              <w:t>2) Собственная и примесная электропроводность полупроводников. Легирование кристаллов донорной и акцепторной примесью.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53_968267187">
            <w:r>
              <w:rPr/>
              <w:t>3) Движение зарядов в материалах. Диффузия заряженных частиц.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55_968267187">
            <w:r>
              <w:rPr/>
              <w:t>3.5) Рекомбинация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ind w:left="7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2"/>
        <w:rPr>
          <w:rFonts w:ascii="Calibri" w:hAnsi="Calibri"/>
          <w:b/>
          <w:b/>
          <w:bCs/>
          <w:i w:val="false"/>
          <w:i w:val="false"/>
          <w:iCs w:val="false"/>
          <w:sz w:val="28"/>
          <w:szCs w:val="28"/>
        </w:rPr>
      </w:pPr>
      <w:bookmarkStart w:id="0" w:name="__RefHeading___Toc335_968267187"/>
      <w:bookmarkEnd w:id="0"/>
      <w:r>
        <w:rPr>
          <w:b/>
          <w:bCs/>
          <w:i w:val="false"/>
          <w:iCs w:val="false"/>
          <w:sz w:val="28"/>
          <w:szCs w:val="28"/>
        </w:rPr>
        <w:t xml:space="preserve">1) </w:t>
      </w:r>
      <w:r>
        <w:rPr>
          <w:b/>
          <w:bCs/>
          <w:i w:val="false"/>
          <w:iCs w:val="false"/>
          <w:sz w:val="28"/>
          <w:szCs w:val="28"/>
        </w:rPr>
        <w:t>Энергетические диаграммы диэлектриков, проводников и полупроводников. Основные понятия.</w:t>
      </w:r>
    </w:p>
    <w:p>
      <w:pPr>
        <w:pStyle w:val="Style16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9147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93345</wp:posOffset>
            </wp:positionH>
            <wp:positionV relativeFrom="paragraph">
              <wp:posOffset>4000500</wp:posOffset>
            </wp:positionV>
            <wp:extent cx="6120130" cy="25120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Style16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Style16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34194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В соответствии с квантовой теорией энергия электрона, вращающегося по своей орбите вокруг ядра, не может принимать произвольных значений.  Поэтому электрон может двигаться вокруг ядра только по определенным (разрешенным) орбитам.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  <w:u w:val="none"/>
          <w:shd w:fill="FFD7D7" w:val="clear"/>
        </w:rPr>
        <w:t xml:space="preserve">Разрешенная зона, в которой при температуре абсолютного нуля все энергетические зоны заняты электронами, называется валентной. Разрешенная зона, в которой при температуре абсолютного нуля электроны отсутствуют, называется зоной проводимости. Между валентной зоной и зоной проводимости расположена запрещенная зона. </w:t>
      </w:r>
    </w:p>
    <w:p>
      <w:pPr>
        <w:pStyle w:val="Style16"/>
        <w:spacing w:lineRule="auto" w:line="24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shd w:fill="FFD7D7" w:val="clear"/>
        </w:rPr>
      </w:pPr>
      <w:r>
        <w:rPr/>
      </w:r>
    </w:p>
    <w:p>
      <w:pPr>
        <w:pStyle w:val="Style16"/>
        <w:spacing w:lineRule="auto" w:line="24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shd w:fill="FFD7D7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3248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bookmarkStart w:id="1" w:name="__RefHeading___Toc345_968267187"/>
      <w:bookmarkEnd w:id="1"/>
      <w:r>
        <w:rPr/>
        <w:t xml:space="preserve">2) </w:t>
      </w:r>
      <w:r>
        <w:rPr/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Style16"/>
        <w:spacing w:lineRule="auto" w:line="240"/>
        <w:rPr/>
      </w:pPr>
      <w:r>
        <w:rPr/>
      </w:r>
    </w:p>
    <w:p>
      <w:pPr>
        <w:pStyle w:val="Style16"/>
        <w:spacing w:lineRule="auto" w:line="240" w:before="0" w:after="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ab/>
        <w:t xml:space="preserve">Идеальный полупроводник, в котором отсутствуют примеси и дефекты, называется собственным. В собственном полупроводнике концентрация электронов равна концентрации дырок. Под действием тепла или света электроны могут переходить из валентной зоны в зону проводимости. </w:t>
      </w:r>
    </w:p>
    <w:p>
      <w:pPr>
        <w:pStyle w:val="Style16"/>
        <w:spacing w:lineRule="auto" w:line="240" w:before="0" w:after="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pacing w:lineRule="auto" w:line="240" w:before="0" w:after="0"/>
        <w:jc w:val="both"/>
        <w:rPr/>
      </w:pPr>
      <w:r>
        <w:rPr>
          <w:sz w:val="28"/>
          <w:szCs w:val="28"/>
        </w:rPr>
        <w:tab/>
        <w:t xml:space="preserve">Процесс образования пары электрон — дырка называют генерацией свободных носителей заряда. </w:t>
      </w:r>
    </w:p>
    <w:p>
      <w:pPr>
        <w:pStyle w:val="Style16"/>
        <w:spacing w:lineRule="auto" w:line="240" w:before="0" w:after="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Дырка - </w:t>
      </w:r>
      <w:r>
        <w:rPr>
          <w:sz w:val="28"/>
          <w:szCs w:val="28"/>
        </w:rPr>
        <w:t>незаполненный энергетический уровень в валентной зоне.</w:t>
      </w:r>
    </w:p>
    <w:p>
      <w:pPr>
        <w:pStyle w:val="Style16"/>
        <w:spacing w:lineRule="auto" w:line="240" w:before="0" w:after="0"/>
        <w:jc w:val="both"/>
        <w:rPr>
          <w:rFonts w:ascii="Calibri" w:hAnsi="Calibri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</w:t>
      </w:r>
      <w:r>
        <w:rPr>
          <w:sz w:val="28"/>
          <w:szCs w:val="28"/>
        </w:rPr>
        <w:t>рем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я</w:t>
      </w:r>
      <w:r>
        <w:rPr>
          <w:sz w:val="28"/>
          <w:szCs w:val="28"/>
        </w:rPr>
        <w:t xml:space="preserve"> жизни носителей электрического заряда — </w:t>
      </w:r>
      <w:r>
        <w:rPr>
          <w:sz w:val="28"/>
          <w:szCs w:val="28"/>
        </w:rPr>
        <w:t>время в течении которого пара электрон — дырка существует.</w:t>
      </w:r>
    </w:p>
    <w:p>
      <w:pPr>
        <w:pStyle w:val="Style16"/>
        <w:spacing w:lineRule="auto" w:line="240" w:before="0" w:after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874395</wp:posOffset>
            </wp:positionH>
            <wp:positionV relativeFrom="paragraph">
              <wp:posOffset>266700</wp:posOffset>
            </wp:positionV>
            <wp:extent cx="4371975" cy="31527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40" w:before="0" w:after="0"/>
        <w:jc w:val="both"/>
        <w:rPr>
          <w:sz w:val="28"/>
          <w:szCs w:val="28"/>
        </w:rPr>
      </w:pPr>
      <w:r>
        <w:rPr/>
      </w:r>
    </w:p>
    <w:p>
      <w:pPr>
        <w:pStyle w:val="Style16"/>
        <w:spacing w:lineRule="auto" w:line="240" w:before="0" w:after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1051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40" w:before="0" w:after="0"/>
        <w:jc w:val="both"/>
        <w:rPr>
          <w:sz w:val="28"/>
          <w:szCs w:val="28"/>
        </w:rPr>
      </w:pPr>
      <w:r>
        <w:rPr/>
      </w:r>
    </w:p>
    <w:p>
      <w:pPr>
        <w:pStyle w:val="Style16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Style16"/>
        <w:spacing w:lineRule="auto" w:line="240"/>
        <w:jc w:val="both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30480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</w:t>
      </w:r>
      <w:r>
        <w:rPr>
          <w:sz w:val="28"/>
          <w:szCs w:val="28"/>
        </w:rPr>
        <w:t>ероятность захвата электрона и перехода его в валентную зону возрастает в полупроводниках p-типа, поэтому уровень Ферми W</w:t>
      </w:r>
      <w:r>
        <w:rPr>
          <w:sz w:val="28"/>
          <w:szCs w:val="28"/>
          <w:vertAlign w:val="subscript"/>
        </w:rPr>
        <w:t>F</w:t>
      </w:r>
      <w:r>
        <w:rPr>
          <w:sz w:val="28"/>
          <w:szCs w:val="28"/>
        </w:rPr>
        <w:t xml:space="preserve"> здесь смещается вниз, к границе валентной зоны.</w:t>
      </w:r>
    </w:p>
    <w:p>
      <w:pPr>
        <w:pStyle w:val="Style16"/>
        <w:spacing w:lineRule="auto" w:line="240"/>
        <w:jc w:val="both"/>
        <w:rPr>
          <w:rFonts w:ascii="Calibri" w:hAnsi="Calibri"/>
        </w:rPr>
      </w:pPr>
      <w:r>
        <w:rPr>
          <w:sz w:val="28"/>
          <w:szCs w:val="28"/>
        </w:rPr>
        <w:t xml:space="preserve">Следует отметить, что при очень больших концентрациях примесей в полупроводниках уровень Ферми может даже выходить за пределы запрещенной зоны либо в зону проводимости (в полупроводниках n-типа) либо в зону валентную (в полупроводниках p-типа). </w:t>
      </w:r>
      <w:r>
        <w:rPr>
          <w:sz w:val="28"/>
          <w:szCs w:val="28"/>
          <w:shd w:fill="FFD7D7" w:val="clear"/>
        </w:rPr>
        <w:t>Такие полупроводники называются вырожденными.</w:t>
      </w:r>
    </w:p>
    <w:p>
      <w:pPr>
        <w:pStyle w:val="2"/>
        <w:rPr/>
      </w:pPr>
      <w:bookmarkStart w:id="2" w:name="__RefHeading___Toc353_968267187"/>
      <w:bookmarkEnd w:id="2"/>
      <w:r>
        <w:rPr/>
        <w:t xml:space="preserve">3) </w:t>
      </w:r>
      <w:r>
        <w:rPr/>
        <w:t>Движение зарядов в материалах. Диффузия заряженных частиц.</w:t>
      </w:r>
    </w:p>
    <w:p>
      <w:pPr>
        <w:pStyle w:val="Style16"/>
        <w:rPr>
          <w:rFonts w:ascii="Calibri" w:hAnsi="Calibri"/>
          <w:sz w:val="28"/>
          <w:szCs w:val="28"/>
          <w:shd w:fill="FFD7D7" w:val="clear"/>
          <w:lang w:val="ru-RU"/>
        </w:rPr>
      </w:pPr>
      <w:r>
        <w:rPr>
          <w:sz w:val="28"/>
          <w:szCs w:val="28"/>
          <w:shd w:fill="FFD7D7" w:val="clear"/>
          <w:lang w:val="ru-RU"/>
        </w:rPr>
        <w:t>Диффузия обусловлена разностью концентраций.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31623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893445</wp:posOffset>
            </wp:positionH>
            <wp:positionV relativeFrom="paragraph">
              <wp:posOffset>3533775</wp:posOffset>
            </wp:positionV>
            <wp:extent cx="4572000" cy="313372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rPr>
          <w:rFonts w:ascii="Calibri" w:hAnsi="Calibri"/>
          <w:sz w:val="28"/>
          <w:szCs w:val="28"/>
          <w:shd w:fill="FFD7D7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19075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D7D7" w:val="clear"/>
        </w:rPr>
        <w:t>П</w:t>
      </w:r>
      <w:r>
        <w:rPr>
          <w:sz w:val="28"/>
          <w:szCs w:val="28"/>
          <w:shd w:fill="FFD7D7" w:val="clear"/>
        </w:rPr>
        <w:t>олная плотность диффузионного тока:</w:t>
      </w:r>
    </w:p>
    <w:p>
      <w:pPr>
        <w:pStyle w:val="2"/>
        <w:rPr/>
      </w:pPr>
      <w:bookmarkStart w:id="3" w:name="__RefHeading___Toc355_968267187"/>
      <w:bookmarkEnd w:id="3"/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18110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.5) Рекомбинация</w:t>
      </w:r>
    </w:p>
    <w:p>
      <w:pPr>
        <w:pStyle w:val="Style16"/>
        <w:spacing w:before="0" w:after="0"/>
        <w:rPr/>
      </w:pPr>
      <w:r>
        <w:rPr/>
        <w:tab/>
        <w:t>Одновременно с процессом диффузии носителей происходит процесс их рекомбинации. Поэтому избыточная концентрация уменьшается в направлении от места источника этой избыточной концентрации.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ab/>
        <w:t xml:space="preserve">Расстояние, на котором при одномерной диффузии в полупроводнике без электрического поля в нем избыточная концентрация носителей заряда уменьшается в результате рекомбинации в е раз, называется </w:t>
      </w:r>
      <w:r>
        <w:rPr>
          <w:shd w:fill="FFD7D7" w:val="clear"/>
        </w:rPr>
        <w:t>Диффузионной длиной L.</w:t>
      </w:r>
      <w:r>
        <w:rPr/>
        <w:t xml:space="preserve"> Иными словами, это расстояние, на которое диффундирует носитель за время жизни.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Диффузионная длина L связана с временем жизни носителей соотношениями: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538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6"/>
        <w:spacing w:before="0" w:after="0"/>
        <w:rPr/>
      </w:pPr>
      <w:r>
        <w:rPr/>
      </w:r>
      <w:r>
        <w:br w:type="page"/>
      </w:r>
    </w:p>
    <w:p>
      <w:pPr>
        <w:pStyle w:val="Style16"/>
        <w:spacing w:before="0" w:after="0"/>
        <w:rPr/>
      </w:pPr>
      <w:r>
        <w:rPr/>
        <w:t xml:space="preserve">4) </w:t>
      </w:r>
    </w:p>
    <w:sectPr>
      <w:footerReference w:type="default" r:id="rId1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jc w:val="both"/>
      <w:outlineLvl w:val="1"/>
    </w:pPr>
    <w:rPr>
      <w:rFonts w:ascii="Calibri" w:hAnsi="Calibri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40" w:before="0" w:after="140"/>
      <w:jc w:val="both"/>
    </w:pPr>
    <w:rPr>
      <w:rFonts w:ascii="Calibri" w:hAnsi="Calibri"/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A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19"/>
    <w:pPr>
      <w:tabs>
        <w:tab w:val="clear" w:pos="709"/>
        <w:tab w:val="right" w:pos="9355" w:leader="dot"/>
      </w:tabs>
      <w:ind w:left="283" w:hanging="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LibreOffice/7.0.1.2$Windows_x86 LibreOffice_project/7cbcfc562f6eb6708b5ff7d7397325de9e764452</Application>
  <Pages>8</Pages>
  <Words>336</Words>
  <Characters>2431</Characters>
  <CharactersWithSpaces>2764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2021-06-07T15:04:23Z</dcterms:created>
  <dc:creator/>
  <dc:description/>
  <dc:language>ru-RU</dc:language>
  <cp:lastModifiedBy/>
  <dcterms:modified xsi:type="dcterms:W3CDTF">2021-06-07T15:47:54Z</dcterms:modified>
  <cp:revision>4</cp:revision>
  <dc:subject/>
  <dc:title/>
</cp:coreProperties>
</file>