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pacing w:before="240" w:after="120"/>
            <w:rPr/>
          </w:pPr>
          <w:r>
            <w:rPr/>
            <w:t>Оглавление</w:t>
          </w:r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335_968267187">
            <w:r>
              <w:rPr/>
              <w:t>1) Энергетические диаграммы диэлектриков, проводников и полупроводников. Основные понятия.</w:t>
              <w:tab/>
              <w:t>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45_968267187">
            <w:r>
              <w:rPr/>
              <w:t>2) Собственная и примесная электропроводность полупроводников. Легирование кристаллов донорной и акцепторной примесью.</w:t>
              <w:tab/>
              <w:t>4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53_968267187">
            <w:r>
              <w:rPr/>
              <w:t>3) Движение зарядов в материалах. Диффузия заряженных частиц.</w:t>
              <w:tab/>
              <w:t>6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55_968267187">
            <w:r>
              <w:rPr/>
              <w:t>3.5) Рекомбинация</w:t>
              <w:tab/>
              <w:t>7</w:t>
            </w:r>
          </w:hyperlink>
          <w:r>
            <w:rPr/>
            <w:fldChar w:fldCharType="end"/>
          </w:r>
        </w:p>
      </w:sdtContent>
    </w:sdt>
    <w:p>
      <w:pPr>
        <w:pStyle w:val="ListParagraph"/>
        <w:numPr>
          <w:ilvl w:val="0"/>
          <w:numId w:val="0"/>
        </w:numPr>
        <w:bidi w:val="0"/>
        <w:ind w:left="144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ind w:left="72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2"/>
        <w:numPr>
          <w:ilvl w:val="1"/>
          <w:numId w:val="2"/>
        </w:numPr>
        <w:rPr>
          <w:rFonts w:ascii="Calibri" w:hAnsi="Calibri"/>
          <w:b/>
          <w:b/>
          <w:bCs/>
          <w:i w:val="false"/>
          <w:i w:val="false"/>
          <w:iCs w:val="false"/>
          <w:sz w:val="28"/>
          <w:szCs w:val="28"/>
        </w:rPr>
      </w:pPr>
      <w:bookmarkStart w:id="0" w:name="__RefHeading___Toc335_968267187"/>
      <w:bookmarkEnd w:id="0"/>
      <w:r>
        <w:rPr>
          <w:b/>
          <w:bCs/>
          <w:i w:val="false"/>
          <w:iCs w:val="false"/>
          <w:sz w:val="28"/>
          <w:szCs w:val="28"/>
        </w:rPr>
        <w:t>1) Энергетические диаграммы диэлектриков, проводников и полупроводников. Основные понятия.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391477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93345</wp:posOffset>
            </wp:positionH>
            <wp:positionV relativeFrom="paragraph">
              <wp:posOffset>4000500</wp:posOffset>
            </wp:positionV>
            <wp:extent cx="6120130" cy="25120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</w:t>
      </w:r>
    </w:p>
    <w:p>
      <w:pPr>
        <w:pStyle w:val="Style16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34194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</w:t>
      </w:r>
    </w:p>
    <w:p>
      <w:pPr>
        <w:pStyle w:val="Style16"/>
        <w:spacing w:lineRule="auto" w:line="24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В соответствии с квантовой теорией энергия электрона, вращающегося по своей орбите вокруг ядра, не может принимать произвольных значений.  Поэтому электрон может двигаться вокруг ядра только по определенным (разрешенным) орбитам. </w:t>
      </w:r>
    </w:p>
    <w:p>
      <w:pPr>
        <w:pStyle w:val="Style16"/>
        <w:spacing w:lineRule="auto" w:line="24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  <w:t xml:space="preserve">Разрешенная зона, в которой при температуре абсолютного нуля все энергетические зоны заняты электронами, называется валентной. Разрешенная зона, в которой при температуре абсолютного нуля электроны отсутствуют, называется зоной проводимости. Между валентной зоной и зоной проводимости расположена запрещенная зона. </w:t>
      </w:r>
    </w:p>
    <w:p>
      <w:pPr>
        <w:pStyle w:val="Style16"/>
        <w:spacing w:lineRule="auto" w:line="240"/>
        <w:jc w:val="both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shd w:fill="FFD7D7" w:val="clear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</w:r>
    </w:p>
    <w:p>
      <w:pPr>
        <w:pStyle w:val="Style16"/>
        <w:spacing w:lineRule="auto" w:line="240"/>
        <w:jc w:val="both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shd w:fill="FFD7D7" w:val="clear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4802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2"/>
        </w:numPr>
        <w:rPr/>
      </w:pPr>
      <w:bookmarkStart w:id="1" w:name="__RefHeading___Toc345_968267187"/>
      <w:bookmarkEnd w:id="1"/>
      <w:r>
        <w:rPr/>
        <w:t xml:space="preserve">2) Собственная и примесная электропроводность полупроводников. Легирование кристаллов донорной и акцепторной примесью. </w:t>
      </w:r>
    </w:p>
    <w:p>
      <w:pPr>
        <w:pStyle w:val="Style16"/>
        <w:spacing w:lineRule="auto" w:line="240"/>
        <w:rPr/>
      </w:pPr>
      <w:r>
        <w:rPr/>
      </w:r>
    </w:p>
    <w:p>
      <w:pPr>
        <w:pStyle w:val="Style16"/>
        <w:spacing w:lineRule="auto" w:line="240" w:before="0" w:after="0"/>
        <w:jc w:val="both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ab/>
        <w:t xml:space="preserve">Идеальный полупроводник, в котором отсутствуют примеси и дефекты, называется собственным. В собственном полупроводнике концентрация электронов равна концентрации дырок. Под действием тепла или света электроны могут переходить из валентной зоны в зону проводимости. </w:t>
      </w:r>
    </w:p>
    <w:p>
      <w:pPr>
        <w:pStyle w:val="Style16"/>
        <w:spacing w:lineRule="auto" w:line="240" w:before="0" w:after="0"/>
        <w:jc w:val="both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240" w:before="0" w:after="0"/>
        <w:jc w:val="both"/>
        <w:rPr/>
      </w:pPr>
      <w:r>
        <w:rPr>
          <w:sz w:val="28"/>
          <w:szCs w:val="28"/>
        </w:rPr>
        <w:tab/>
        <w:t xml:space="preserve">Процесс образования пары электрон — дырка называют генерацией свободных носителей заряда. </w:t>
      </w:r>
    </w:p>
    <w:p>
      <w:pPr>
        <w:pStyle w:val="Style16"/>
        <w:spacing w:lineRule="auto" w:line="240" w:before="0" w:after="0"/>
        <w:jc w:val="both"/>
        <w:rPr/>
      </w:pPr>
      <w:r>
        <w:rPr>
          <w:sz w:val="28"/>
          <w:szCs w:val="28"/>
        </w:rPr>
        <w:tab/>
        <w:t>Дырка - незаполненный энергетический уровень в валентной зоне.</w:t>
      </w:r>
    </w:p>
    <w:p>
      <w:pPr>
        <w:pStyle w:val="Style16"/>
        <w:spacing w:lineRule="auto" w:line="240" w:before="0" w:after="0"/>
        <w:jc w:val="both"/>
        <w:rPr>
          <w:rFonts w:ascii="Calibri" w:hAnsi="Calibri"/>
        </w:rPr>
      </w:pPr>
      <w:r>
        <w:rPr>
          <w:sz w:val="28"/>
          <w:szCs w:val="28"/>
        </w:rPr>
        <w:tab/>
        <w:t>Врем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я</w:t>
      </w:r>
      <w:r>
        <w:rPr>
          <w:sz w:val="28"/>
          <w:szCs w:val="28"/>
        </w:rPr>
        <w:t xml:space="preserve"> жизни носителей электрического заряда — время в течении которого пара электрон — дырка существует.</w:t>
      </w:r>
    </w:p>
    <w:p>
      <w:pPr>
        <w:pStyle w:val="Style16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874395</wp:posOffset>
            </wp:positionH>
            <wp:positionV relativeFrom="paragraph">
              <wp:posOffset>266700</wp:posOffset>
            </wp:positionV>
            <wp:extent cx="4371975" cy="31527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310515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2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6"/>
        <w:spacing w:lineRule="auto" w:line="24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304800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</w:t>
      </w:r>
      <w:r>
        <w:rPr>
          <w:sz w:val="28"/>
          <w:szCs w:val="28"/>
        </w:rPr>
        <w:t>ероятность захвата электрона и перехода его в валентную зону возрастает в полупроводниках p-типа, поэтому уровень Ферми W</w:t>
      </w:r>
      <w:r>
        <w:rPr>
          <w:sz w:val="28"/>
          <w:szCs w:val="28"/>
          <w:vertAlign w:val="subscript"/>
        </w:rPr>
        <w:t>F</w:t>
      </w:r>
      <w:r>
        <w:rPr>
          <w:sz w:val="28"/>
          <w:szCs w:val="28"/>
        </w:rPr>
        <w:t xml:space="preserve"> здесь смещается вниз, к границе валентной зоны.</w:t>
      </w:r>
    </w:p>
    <w:p>
      <w:pPr>
        <w:pStyle w:val="Style16"/>
        <w:spacing w:lineRule="auto" w:line="240"/>
        <w:jc w:val="both"/>
        <w:rPr>
          <w:rFonts w:ascii="Calibri" w:hAnsi="Calibri"/>
        </w:rPr>
      </w:pPr>
      <w:r>
        <w:rPr>
          <w:sz w:val="28"/>
          <w:szCs w:val="28"/>
        </w:rPr>
        <w:t xml:space="preserve">Следует отметить, что при очень больших концентрациях примесей в полупроводниках уровень Ферми может даже выходить за пределы запрещенной зоны либо в зону проводимости (в полупроводниках n-типа) либо в зону валентную (в полупроводниках p-типа). </w:t>
      </w:r>
      <w:r>
        <w:rPr>
          <w:sz w:val="28"/>
          <w:szCs w:val="28"/>
          <w:shd w:fill="FFD7D7" w:val="clear"/>
        </w:rPr>
        <w:t>Такие полупроводники называются вырожденными.</w:t>
      </w:r>
    </w:p>
    <w:p>
      <w:pPr>
        <w:pStyle w:val="2"/>
        <w:numPr>
          <w:ilvl w:val="1"/>
          <w:numId w:val="2"/>
        </w:numPr>
        <w:rPr/>
      </w:pPr>
      <w:bookmarkStart w:id="2" w:name="__RefHeading___Toc353_968267187"/>
      <w:bookmarkEnd w:id="2"/>
      <w:r>
        <w:rPr/>
        <w:t>3) Движение зарядов в материалах. Диффузия заряженных частиц.</w:t>
      </w:r>
    </w:p>
    <w:p>
      <w:pPr>
        <w:pStyle w:val="Style16"/>
        <w:rPr>
          <w:rFonts w:ascii="Calibri" w:hAnsi="Calibri"/>
          <w:sz w:val="28"/>
          <w:szCs w:val="28"/>
          <w:shd w:fill="FFD7D7" w:val="clear"/>
          <w:lang w:val="ru-RU"/>
        </w:rPr>
      </w:pPr>
      <w:r>
        <w:rPr>
          <w:sz w:val="28"/>
          <w:szCs w:val="28"/>
          <w:shd w:fill="FFD7D7" w:val="clear"/>
          <w:lang w:val="ru-RU"/>
        </w:rPr>
        <w:t>Диффузия обусловлена разностью концентраций.</w:t>
      </w:r>
    </w:p>
    <w:p>
      <w:pPr>
        <w:pStyle w:val="Style16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316230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893445</wp:posOffset>
            </wp:positionH>
            <wp:positionV relativeFrom="paragraph">
              <wp:posOffset>3533775</wp:posOffset>
            </wp:positionV>
            <wp:extent cx="4572000" cy="31337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6"/>
        <w:rPr>
          <w:rFonts w:ascii="Calibri" w:hAnsi="Calibri"/>
          <w:sz w:val="28"/>
          <w:szCs w:val="28"/>
          <w:shd w:fill="FFD7D7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219075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shd w:fill="FFD7D7" w:val="clear"/>
        </w:rPr>
        <w:t>П</w:t>
      </w:r>
      <w:r>
        <w:rPr>
          <w:sz w:val="28"/>
          <w:szCs w:val="28"/>
          <w:shd w:fill="FFD7D7" w:val="clear"/>
        </w:rPr>
        <w:t>олная плотность диффузионного тока:</w:t>
      </w:r>
    </w:p>
    <w:p>
      <w:pPr>
        <w:pStyle w:val="2"/>
        <w:numPr>
          <w:ilvl w:val="1"/>
          <w:numId w:val="2"/>
        </w:numPr>
        <w:rPr/>
      </w:pPr>
      <w:bookmarkStart w:id="3" w:name="__RefHeading___Toc355_968267187"/>
      <w:bookmarkEnd w:id="3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118110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.5) Рекомбинация</w:t>
      </w:r>
    </w:p>
    <w:p>
      <w:pPr>
        <w:pStyle w:val="Style16"/>
        <w:spacing w:before="0" w:after="0"/>
        <w:rPr/>
      </w:pPr>
      <w:r>
        <w:rPr/>
        <w:tab/>
        <w:t>Одновременно с процессом диффузии носителей происходит процесс их рекомбинации. Поэтому избыточная концентрация уменьшается в направлении от места источника этой избыточной концентрации.</w:t>
      </w:r>
    </w:p>
    <w:p>
      <w:pPr>
        <w:pStyle w:val="Style16"/>
        <w:spacing w:before="0" w:after="0"/>
        <w:rPr/>
      </w:pPr>
      <w:r>
        <w:rPr/>
      </w:r>
    </w:p>
    <w:p>
      <w:pPr>
        <w:pStyle w:val="Style16"/>
        <w:spacing w:before="0" w:after="0"/>
        <w:rPr/>
      </w:pPr>
      <w:r>
        <w:rPr/>
        <w:tab/>
        <w:t xml:space="preserve">Расстояние, на котором при одномерной диффузии в полупроводнике без электрического поля в нем избыточная концентрация носителей заряда уменьшается в результате рекомбинации в е раз, называется </w:t>
      </w:r>
      <w:r>
        <w:rPr>
          <w:shd w:fill="FFD7D7" w:val="clear"/>
        </w:rPr>
        <w:t>Диффузионной длиной L.</w:t>
      </w:r>
      <w:r>
        <w:rPr/>
        <w:t xml:space="preserve"> Иными словами, это расстояние, на которое диффундирует носитель за время жизни.</w:t>
      </w:r>
    </w:p>
    <w:p>
      <w:pPr>
        <w:pStyle w:val="Style16"/>
        <w:spacing w:before="0" w:after="0"/>
        <w:rPr/>
      </w:pPr>
      <w:r>
        <w:rPr/>
      </w:r>
    </w:p>
    <w:p>
      <w:pPr>
        <w:pStyle w:val="Style16"/>
        <w:spacing w:before="0" w:after="0"/>
        <w:rPr/>
      </w:pPr>
      <w:r>
        <w:rPr/>
        <w:t>Диффузионная длина L связана с временем жизни носителей соотношениями:</w:t>
      </w:r>
    </w:p>
    <w:p>
      <w:pPr>
        <w:pStyle w:val="Style16"/>
        <w:spacing w:before="0" w:after="0"/>
        <w:rPr/>
      </w:pPr>
      <w:r>
        <w:rPr/>
      </w:r>
    </w:p>
    <w:p>
      <w:pPr>
        <w:pStyle w:val="Style16"/>
        <w:spacing w:before="0" w:after="0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538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6"/>
        <w:spacing w:before="0" w:after="0"/>
        <w:rPr/>
      </w:pPr>
      <w:r>
        <w:rPr/>
      </w:r>
      <w:r>
        <w:br w:type="page"/>
      </w:r>
    </w:p>
    <w:p>
      <w:pPr>
        <w:pStyle w:val="2"/>
        <w:rPr/>
      </w:pPr>
      <w:r>
        <w:rPr/>
        <w:t xml:space="preserve">4) </w:t>
      </w:r>
      <w:r>
        <w:rPr/>
        <w:t>Движение зарядов в материалах. Дрейф заряженных частиц.</w:t>
      </w:r>
    </w:p>
    <w:p>
      <w:pPr>
        <w:pStyle w:val="Style16"/>
        <w:spacing w:lineRule="auto" w:line="240" w:before="0" w:after="26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129540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4"/>
          <w:szCs w:val="24"/>
        </w:rPr>
        <w:t xml:space="preserve">В полупроводниках процесс переноса зарядов может наблюдаться при наличии электронов в зоне проводимости и неполном заполнении электронами валентной зоны. </w:t>
      </w:r>
    </w:p>
    <w:p>
      <w:pPr>
        <w:pStyle w:val="Style16"/>
        <w:spacing w:lineRule="auto" w:line="240" w:before="0" w:after="26"/>
        <w:rPr>
          <w:sz w:val="24"/>
          <w:szCs w:val="24"/>
        </w:rPr>
      </w:pPr>
      <w:r>
        <w:rPr>
          <w:sz w:val="24"/>
          <w:szCs w:val="24"/>
        </w:rPr>
        <w:tab/>
        <w:t xml:space="preserve">Электроны, получая ускорение в электрическом поле, приобретают на средней длине свободного пробега </w:t>
      </w:r>
      <w:r>
        <w:rPr>
          <w:sz w:val="24"/>
          <w:szCs w:val="24"/>
          <w:shd w:fill="FFD7D7" w:val="clear"/>
        </w:rPr>
        <w:t>добавочную составляющую скорости</w:t>
      </w:r>
      <w:r>
        <w:rPr>
          <w:sz w:val="24"/>
          <w:szCs w:val="24"/>
        </w:rPr>
        <w:t xml:space="preserve">, которая называется дрейфовой скоростью </w:t>
      </w:r>
      <w:r>
        <w:rPr>
          <w:sz w:val="24"/>
          <w:szCs w:val="24"/>
          <w:lang w:val="en-US"/>
        </w:rPr>
        <w:t>v</w:t>
      </w:r>
      <w:r>
        <w:rPr>
          <w:position w:val="-2"/>
          <w:sz w:val="19"/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 </w:t>
      </w:r>
      <w:r>
        <w:rPr>
          <w:position w:val="-2"/>
          <w:sz w:val="19"/>
          <w:sz w:val="24"/>
          <w:szCs w:val="24"/>
        </w:rPr>
        <w:t>др</w:t>
      </w:r>
      <w:r>
        <w:rPr>
          <w:sz w:val="24"/>
          <w:szCs w:val="24"/>
        </w:rPr>
        <w:t xml:space="preserve">, к своей средней скорости движения. </w:t>
      </w:r>
      <w:r>
        <w:rPr>
          <w:sz w:val="24"/>
          <w:szCs w:val="24"/>
          <w:shd w:fill="FFD7D7" w:val="clear"/>
        </w:rPr>
        <w:t>Дрейфовая скорость электронов мала</w:t>
      </w:r>
      <w:r>
        <w:rPr>
          <w:sz w:val="24"/>
          <w:szCs w:val="24"/>
        </w:rPr>
        <w:t xml:space="preserve"> по сравнению со средней скоростью их теплового движения в обычных условиях. </w:t>
      </w:r>
    </w:p>
    <w:p>
      <w:pPr>
        <w:pStyle w:val="Style16"/>
        <w:spacing w:lineRule="auto" w:line="240" w:before="0" w:after="26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2410" cy="536702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6"/>
        <w:spacing w:lineRule="auto" w:line="240" w:before="0" w:after="26"/>
        <w:rPr/>
      </w:pPr>
      <w:r>
        <w:rPr/>
      </w:r>
      <w:r>
        <w:br w:type="page"/>
      </w:r>
    </w:p>
    <w:p>
      <w:pPr>
        <w:pStyle w:val="2"/>
        <w:rPr>
          <w:rFonts w:ascii="Calibri" w:hAnsi="Calib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33350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) </w:t>
      </w:r>
      <w:r>
        <w:rPr>
          <w:rFonts w:cs="Times New Roman" w:ascii="Calibri" w:hAnsi="Calibri"/>
          <w:sz w:val="28"/>
          <w:szCs w:val="28"/>
        </w:rPr>
        <w:t>Электрические переходы. Основные понятия и определения.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7441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alibri" w:hAnsi="Calibri"/>
          <w:sz w:val="28"/>
          <w:szCs w:val="28"/>
        </w:rPr>
        <w:t xml:space="preserve"> </w:t>
      </w:r>
    </w:p>
    <w:p>
      <w:pPr>
        <w:pStyle w:val="Style16"/>
        <w:rPr>
          <w:rFonts w:ascii="Calibri" w:hAnsi="Calibri" w:cs="Times New Roman"/>
          <w:sz w:val="28"/>
          <w:szCs w:val="28"/>
        </w:rPr>
      </w:pPr>
      <w:r>
        <w:rPr/>
      </w:r>
      <w:r>
        <w:br w:type="page"/>
      </w:r>
    </w:p>
    <w:p>
      <w:pPr>
        <w:pStyle w:val="2"/>
        <w:rPr/>
      </w:pPr>
      <w:r>
        <w:rPr>
          <w:rFonts w:cs="Times New Roman"/>
        </w:rPr>
        <w:t xml:space="preserve">6)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-</w:t>
      </w:r>
      <w:r>
        <w:rPr>
          <w:rFonts w:cs="Times New Roman"/>
          <w:lang w:val="en-US"/>
        </w:rPr>
        <w:t>N</w:t>
      </w:r>
      <w:r>
        <w:rPr>
          <w:rFonts w:cs="Times New Roman"/>
        </w:rPr>
        <w:t xml:space="preserve"> переход при отсутствии смещения. Физические процессы и энергетические диаграммы. Несимметричный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-</w:t>
      </w:r>
      <w:r>
        <w:rPr>
          <w:rFonts w:cs="Times New Roman"/>
          <w:lang w:val="en-US"/>
        </w:rPr>
        <w:t>N</w:t>
      </w:r>
      <w:r>
        <w:rPr>
          <w:rFonts w:cs="Times New Roman"/>
        </w:rPr>
        <w:t xml:space="preserve"> переход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07632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1031240</wp:posOffset>
            </wp:positionH>
            <wp:positionV relativeFrom="paragraph">
              <wp:posOffset>1428750</wp:posOffset>
            </wp:positionV>
            <wp:extent cx="4057650" cy="332422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 </w:t>
      </w:r>
    </w:p>
    <w:p>
      <w:pPr>
        <w:pStyle w:val="Style16"/>
        <w:rPr/>
      </w:pPr>
      <w:r>
        <w:rPr>
          <w:rFonts w:cs="Times New Roman"/>
        </w:rPr>
        <w:t xml:space="preserve"> </w:t>
      </w:r>
    </w:p>
    <w:p>
      <w:pPr>
        <w:pStyle w:val="Style16"/>
        <w:rPr/>
      </w:pPr>
      <w:r>
        <w:rPr>
          <w:rFonts w:cs="Times New Roman"/>
        </w:rPr>
        <w:tab/>
        <w:t>Свободные носители электрических зарядов под действием диффузии</w:t>
      </w:r>
      <w:r>
        <w:rPr>
          <w:rFonts w:cs="Times New Roman"/>
        </w:rPr>
        <w:t>(зависит от концентрации)</w:t>
      </w:r>
      <w:r>
        <w:rPr>
          <w:rFonts w:cs="Times New Roman"/>
        </w:rPr>
        <w:t xml:space="preserve"> начинают перемещаться, в результате произойдет рекомбинация. </w:t>
      </w:r>
      <w:r>
        <w:rPr>
          <w:rFonts w:cs="Times New Roman"/>
        </w:rPr>
        <w:t>П</w:t>
      </w:r>
      <w:r>
        <w:rPr>
          <w:rFonts w:cs="Times New Roman"/>
        </w:rPr>
        <w:t xml:space="preserve">осле рекомбинации дырки и электрона электрические заряды неподвижных ионов примесей, породивших эти дырку и электрон, остались некомпенсированными. Эти ионы примесей образуют </w:t>
      </w:r>
      <w:r>
        <w:rPr>
          <w:rFonts w:cs="Times New Roman"/>
          <w:shd w:fill="FFD7D7" w:val="clear"/>
        </w:rPr>
        <w:t xml:space="preserve">слой пространственных зарядов. </w:t>
      </w:r>
    </w:p>
    <w:p>
      <w:pPr>
        <w:pStyle w:val="Style16"/>
        <w:rPr/>
      </w:pPr>
      <w:r>
        <w:rPr>
          <w:rFonts w:cs="Times New Roman"/>
          <w:shd w:fill="auto" w:val="clear"/>
        </w:rPr>
        <w:tab/>
      </w:r>
      <w:r>
        <w:rPr>
          <w:rFonts w:cs="Times New Roman"/>
        </w:rPr>
        <w:t xml:space="preserve">Между пространственными зарядами возникает электрическое поле напряженностью Е, которое называют </w:t>
      </w:r>
      <w:r>
        <w:rPr>
          <w:rFonts w:cs="Times New Roman"/>
          <w:shd w:fill="FFD7D7" w:val="clear"/>
        </w:rPr>
        <w:t>полем потенциального барьера</w:t>
      </w:r>
      <w:r>
        <w:rPr>
          <w:rFonts w:cs="Times New Roman"/>
        </w:rPr>
        <w:t xml:space="preserve">, а разность потенциалов на границе раздела двух зон, обусловливающих это поле, называют </w:t>
      </w:r>
      <w:r>
        <w:rPr>
          <w:rFonts w:cs="Times New Roman"/>
          <w:shd w:fill="FFD7D7" w:val="clear"/>
        </w:rPr>
        <w:t>контактной разностью потенциалов</w:t>
      </w:r>
      <w:r>
        <w:rPr>
          <w:rFonts w:cs="Times New Roman"/>
        </w:rPr>
        <w:t xml:space="preserve">. </w:t>
      </w:r>
    </w:p>
    <w:p>
      <w:pPr>
        <w:pStyle w:val="Style16"/>
        <w:rPr/>
      </w:pPr>
      <w:r>
        <w:rPr>
          <w:rFonts w:cs="Times New Roman"/>
          <w:shd w:fill="auto" w:val="clear"/>
        </w:rPr>
        <w:tab/>
        <w:t xml:space="preserve">&lt;...&gt;Аналогично электроны из области </w:t>
      </w:r>
      <w:r>
        <w:rPr>
          <w:rFonts w:cs="Times New Roman"/>
          <w:shd w:fill="FFD7D7" w:val="clear"/>
        </w:rPr>
        <w:t>п</w:t>
      </w:r>
      <w:r>
        <w:rPr>
          <w:rFonts w:cs="Times New Roman"/>
          <w:shd w:fill="FFD7D7" w:val="clear"/>
          <w:lang w:val="en-US"/>
        </w:rPr>
        <w:t>(</w:t>
      </w:r>
      <w:r>
        <w:rPr>
          <w:rFonts w:cs="Times New Roman"/>
          <w:shd w:fill="FFD7D7" w:val="clear"/>
          <w:lang w:val="ru-RU"/>
        </w:rPr>
        <w:t xml:space="preserve">это </w:t>
      </w:r>
      <w:r>
        <w:rPr>
          <w:rFonts w:cs="Times New Roman"/>
          <w:shd w:fill="FFD7D7" w:val="clear"/>
          <w:lang w:val="en-US"/>
        </w:rPr>
        <w:t>n!!!)</w:t>
      </w:r>
      <w:r>
        <w:rPr>
          <w:rFonts w:cs="Times New Roman"/>
          <w:shd w:fill="auto" w:val="clear"/>
        </w:rPr>
        <w:t xml:space="preserve">, попадая в зону действия поля потенциального барьера, будут вытолкнуты им в глубь области </w:t>
      </w:r>
      <w:r>
        <w:rPr>
          <w:rFonts w:cs="Times New Roman"/>
          <w:shd w:fill="FFD7D7" w:val="clear"/>
        </w:rPr>
        <w:t>п</w:t>
      </w:r>
      <w:r>
        <w:rPr>
          <w:rFonts w:cs="Times New Roman"/>
          <w:shd w:fill="FFD7D7" w:val="clear"/>
          <w:lang w:val="en-US"/>
        </w:rPr>
        <w:t>(</w:t>
      </w:r>
      <w:r>
        <w:rPr>
          <w:rFonts w:cs="Times New Roman"/>
          <w:shd w:fill="FFD7D7" w:val="clear"/>
          <w:lang w:val="ru-RU"/>
        </w:rPr>
        <w:t xml:space="preserve">это </w:t>
      </w:r>
      <w:r>
        <w:rPr>
          <w:rFonts w:cs="Times New Roman"/>
          <w:shd w:fill="FFD7D7" w:val="clear"/>
          <w:lang w:val="en-US"/>
        </w:rPr>
        <w:t>n!!!)</w:t>
      </w:r>
      <w:r>
        <w:rPr>
          <w:rFonts w:cs="Times New Roman"/>
          <w:shd w:fill="auto" w:val="clear"/>
        </w:rPr>
        <w:t xml:space="preserve">. Таким образом, в узкой области, где действует поле потенциального барьера, образуется слой шириной б, в котором практически отсутствуют свободные носители электрических зарядов. Вследствие этого слой обладает высоким сопротивлением. Это так называемый </w:t>
      </w:r>
      <w:r>
        <w:rPr>
          <w:rFonts w:cs="Times New Roman"/>
          <w:shd w:fill="FFD7D7" w:val="clear"/>
        </w:rPr>
        <w:t>запирающий слой</w:t>
      </w:r>
      <w:r>
        <w:rPr>
          <w:rFonts w:cs="Times New Roman"/>
          <w:shd w:fill="auto" w:val="clear"/>
        </w:rPr>
        <w:t xml:space="preserve">. 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075" cy="2657475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ab/>
      </w:r>
      <w:r>
        <w:rPr>
          <w:rFonts w:cs="Times New Roman"/>
          <w:shd w:fill="auto" w:val="clear"/>
        </w:rPr>
        <w:t>При отсутствии внешнего электрического поля устанавливается динамическое равновесие между потоками основных и неосновных носителей электрических зарядов, т. е. между диффузионной и дрейфовой составляющими тока р—п-перехода, поскольку эти составляющие направлены навстречу друг другу.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5705" cy="362966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 xml:space="preserve"> </w:t>
      </w:r>
    </w:p>
    <w:p>
      <w:pPr>
        <w:pStyle w:val="Style16"/>
        <w:rPr/>
      </w:pPr>
      <w:r>
        <w:rPr>
          <w:rFonts w:cs="Times New Roman"/>
          <w:shd w:fill="auto" w:val="clear"/>
        </w:rPr>
        <w:tab/>
        <w:t xml:space="preserve">При отсутствии внешнего электрического поля и условии динамического равновесия в кристалле полупроводника устанавливается единый уровень Ферми для обеих областей проводимости. Поскольку в полупроводниках р-типа уровень Ферми смещается к потолку валентной зоны </w:t>
      </w:r>
      <w:r>
        <w:rPr>
          <w:rFonts w:cs="Times New Roman"/>
          <w:position w:val="-2"/>
          <w:sz w:val="22"/>
          <w:shd w:fill="auto" w:val="clear"/>
          <w:lang w:val="en-US"/>
        </w:rPr>
        <w:t>Wn</w:t>
      </w:r>
      <w:r>
        <w:rPr>
          <w:rFonts w:cs="Times New Roman"/>
          <w:position w:val="-2"/>
          <w:sz w:val="22"/>
          <w:shd w:fill="auto" w:val="clear"/>
        </w:rPr>
        <w:t>(</w:t>
      </w:r>
      <w:r>
        <w:rPr>
          <w:rFonts w:cs="Times New Roman"/>
          <w:position w:val="-2"/>
          <w:sz w:val="22"/>
          <w:shd w:fill="auto" w:val="clear"/>
          <w:lang w:val="en-US"/>
        </w:rPr>
        <w:t>n</w:t>
      </w:r>
      <w:r>
        <w:rPr>
          <w:rFonts w:cs="Times New Roman"/>
          <w:position w:val="-2"/>
          <w:sz w:val="22"/>
          <w:shd w:fill="auto" w:val="clear"/>
        </w:rPr>
        <w:t xml:space="preserve">) </w:t>
      </w:r>
      <w:r>
        <w:rPr>
          <w:rFonts w:cs="Times New Roman"/>
          <w:shd w:fill="auto" w:val="clear"/>
          <w:lang w:val="en-US"/>
        </w:rPr>
        <w:t>a</w:t>
      </w:r>
      <w:r>
        <w:rPr>
          <w:rFonts w:cs="Times New Roman"/>
          <w:shd w:fill="auto" w:val="clear"/>
        </w:rPr>
        <w:t xml:space="preserve"> в полупроводниках п-типа — ко дну зоны проводимости то на ширине р—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 перехода диаграмма энергетических зон (рис. 1.11) искривляется. </w:t>
      </w:r>
    </w:p>
    <w:p>
      <w:pPr>
        <w:pStyle w:val="Style16"/>
        <w:rPr/>
      </w:pPr>
      <w:r>
        <w:rPr>
          <w:rFonts w:cs="Times New Roman"/>
          <w:shd w:fill="auto" w:val="clear"/>
        </w:rPr>
        <w:tab/>
        <w:t xml:space="preserve">Высота потенциального барьера зависит от концентрации примесей, так как при ее изменении изменяется уровень Ферми, смещаясь от середины запрещенной зоны к верхней или нижней ее границе. </w:t>
      </w:r>
    </w:p>
    <w:p>
      <w:pPr>
        <w:pStyle w:val="Style16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334327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ab/>
      </w:r>
      <w:r>
        <w:rPr>
          <w:rFonts w:cs="Times New Roman"/>
          <w:shd w:fill="auto" w:val="clear"/>
        </w:rPr>
        <w:t xml:space="preserve">Если в области р вблизи границы раздела областей каким-либо образом окажется свободный электрон, являющийся неосновным носителем, то он со стороны электрического поля потенциального барьера будет испытывать ускоряющее воздействие. Вследствие этого электрон будет переброшен через границу раздела в область 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, где будет являться основным носителем. </w:t>
      </w:r>
    </w:p>
    <w:p>
      <w:pPr>
        <w:pStyle w:val="Style16"/>
        <w:rPr/>
      </w:pPr>
      <w:r>
        <w:rPr>
          <w:rFonts w:cs="Times New Roman"/>
          <w:shd w:fill="auto" w:val="clear"/>
        </w:rPr>
        <w:tab/>
        <w:t>Движение неосновных носителей через р—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-переход под действием электрического поля потенциального барьера обусловливает составляющую </w:t>
      </w:r>
      <w:r>
        <w:rPr>
          <w:rFonts w:cs="Times New Roman"/>
          <w:shd w:fill="FFD7D7" w:val="clear"/>
        </w:rPr>
        <w:t>Дрейфового тока</w:t>
      </w:r>
      <w:r>
        <w:rPr>
          <w:rFonts w:cs="Times New Roman"/>
          <w:shd w:fill="auto" w:val="clear"/>
        </w:rPr>
        <w:t xml:space="preserve">. </w:t>
      </w:r>
    </w:p>
    <w:p>
      <w:pPr>
        <w:pStyle w:val="Style16"/>
        <w:spacing w:before="0" w:after="140"/>
        <w:rPr/>
      </w:pPr>
      <w:r>
        <w:rPr>
          <w:rFonts w:cs="Times New Roman"/>
          <w:shd w:fill="auto" w:val="clear"/>
        </w:rPr>
        <w:t>7</w:t>
      </w:r>
      <w:r>
        <w:rPr>
          <w:rFonts w:cs="Times New Roman"/>
          <w:shd w:fill="auto" w:val="clear"/>
        </w:rPr>
        <w:t>)</w:t>
      </w:r>
    </w:p>
    <w:sectPr>
      <w:footerReference w:type="default" r:id="rId23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2">
    <w:name w:val="Heading 2"/>
    <w:basedOn w:val="Style15"/>
    <w:next w:val="Style16"/>
    <w:qFormat/>
    <w:pPr>
      <w:numPr>
        <w:ilvl w:val="1"/>
        <w:numId w:val="1"/>
      </w:numPr>
      <w:spacing w:before="200" w:after="120"/>
      <w:jc w:val="both"/>
      <w:outlineLvl w:val="1"/>
    </w:pPr>
    <w:rPr>
      <w:rFonts w:ascii="Calibri" w:hAnsi="Calibri"/>
      <w:b/>
      <w:bCs/>
      <w:sz w:val="28"/>
      <w:szCs w:val="28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40" w:before="0" w:after="140"/>
      <w:jc w:val="both"/>
    </w:pPr>
    <w:rPr>
      <w:rFonts w:ascii="Calibri" w:hAnsi="Calibri"/>
      <w:sz w:val="28"/>
      <w:szCs w:val="28"/>
    </w:rPr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Style20">
    <w:name w:val="Index Heading"/>
    <w:basedOn w:val="Style15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0"/>
    <w:qFormat/>
    <w:pPr>
      <w:suppressLineNumbers/>
      <w:ind w:left="0" w:hanging="0"/>
    </w:pPr>
    <w:rPr>
      <w:b/>
      <w:bCs/>
      <w:sz w:val="32"/>
      <w:szCs w:val="32"/>
    </w:rPr>
  </w:style>
  <w:style w:type="paragraph" w:styleId="21">
    <w:name w:val="TOC 2"/>
    <w:basedOn w:val="Style19"/>
    <w:pPr>
      <w:tabs>
        <w:tab w:val="clear" w:pos="709"/>
        <w:tab w:val="right" w:pos="9355" w:leader="dot"/>
      </w:tabs>
      <w:ind w:left="283" w:hanging="0"/>
    </w:pPr>
    <w:rPr/>
  </w:style>
  <w:style w:type="paragraph" w:styleId="Style21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2">
    <w:name w:val="Footer"/>
    <w:basedOn w:val="Style21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LibreOffice/7.0.1.2$Windows_x86 LibreOffice_project/7cbcfc562f6eb6708b5ff7d7397325de9e764452</Application>
  <Pages>12</Pages>
  <Words>717</Words>
  <Characters>5158</Characters>
  <CharactersWithSpaces>5887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2021-06-07T15:04:23Z</dcterms:created>
  <dc:creator/>
  <dc:description/>
  <dc:language>ru-RU</dc:language>
  <cp:lastModifiedBy/>
  <dcterms:modified xsi:type="dcterms:W3CDTF">2021-06-07T22:46:58Z</dcterms:modified>
  <cp:revision>10</cp:revision>
  <dc:subject/>
  <dc:title/>
</cp:coreProperties>
</file>