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УДК 004.04</w:t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С.В. Астахов</w:t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fzastahov@gmail.com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Н.В. Лапшин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Т.А. Ким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  <w:highlight w:val="yellow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МГТУ им. Н.Э. Баумана, Москва, Российская Федерация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tbl>
      <w:tblPr>
        <w:tblStyle w:val="668"/>
        <w:tblW w:w="0" w:type="auto"/>
        <w:tblLayout w:type="fixed"/>
        <w:tblCellMar>
          <w:left w:w="0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527"/>
        <w:gridCol w:w="382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Аннотация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Ключевые слова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 Cyr" w:hAnsi="Times New Roman Cyr" w:cs="Times New Roman Cyr"/>
                <w:b w:val="0"/>
                <w:bCs/>
                <w:i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Статья 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посвящена разработке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заданий, в том числе, заданий на описание аппаратных устройств на язык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е Verilog.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 Проведен анализ существующих систем тестирования знаний, в ходе анализа сформулированы функциональные требования и составлена диаграмма вариантов использования программной подсистемы тестирования знаний языков описания аппаратуры. Спроектирована архитектура и компоненты подсистемы. Проведено функциональное и нагрузочное тестирование разработанной подсистемы.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pStyle w:val="1_4880"/>
              <w:ind w:firstLine="0"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Тестирование знаний, язык описания аппаратуры</w:t>
            </w: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, HDL, Verilog, система дистанционного обучения, образовательный портал.</w:t>
            </w: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i/>
                <w:iCs/>
                <w:sz w:val="24"/>
                <w:szCs w:val="24"/>
              </w:rPr>
            </w:r>
          </w:p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Введение.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В настоящее время существует огромное количество образовательных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ресурсов, посвященных тематике информационных технологий. Несмотря на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это, на данный момент в открытом до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ступе наблюдается дефицит ресурсов, посвященных изучению языков описания аппаратуры. Среди существующих образовательных платформ есть лишь несколько таких, на которых возможно настроить автоматическую проверку заданий на написание исходного кода на языке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 Verilog (или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каком-либо другом языке описания аппаратуры) непосредственно в рамках веб-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приложения.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При этом процесс настройки весьма сложен, поэтому авторы курсов редко используют описанную возможность.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sz w:val="24"/>
          <w:szCs w:val="24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настоящей статье рассмотрен процесс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разработки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 (в том числе, заданий на описание аппаратных устройств на язык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е Verilog).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Анализ существующих систем тестирования знаний.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ходе анализа существующих систем тестирования знаний, таких как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Huawei University, Coursera, Stepik и Moodle авторами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была предложена классификация методов тестирования знаний (таблица 1), составленная на основе классификации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методов тестирования знаний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, применяемых в системе Moodle [1]. 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0"/>
        <w:jc w:val="right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/>
          <w:i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  <w:highlight w:val="none"/>
        </w:rPr>
        <w:t xml:space="preserve">Таблица 1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0"/>
        <w:jc w:val="center"/>
        <w:spacing w:before="0" w:beforeAutospacing="0"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  <w:t xml:space="preserve">Классификация методов тестирования знаний</w:t>
      </w: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471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№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Тип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Подтип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закрытой форме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1.1 Выбор одного ответа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1.2 Выбор множественных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1.3 Сопоставление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коротким ответом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2.1 С автоматизированной проверкой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2.2 С проверкой преподавателем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2.3 С перекрестной проверкой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форме эссе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3.1 С проверкой преподавателем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3.2 С перекрестной проверкой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на написание исходного кода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vMerge w:val="restart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4.1 С проверкой по референсным значениям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4.2 Автоматизированное тестирование на проверяющей стороне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4.3 Другие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</w:tbl>
    <w:p>
      <w:pPr>
        <w:pStyle w:val="1_4880"/>
        <w:ind w:firstLine="0"/>
        <w:jc w:val="left"/>
        <w:spacing w:before="0" w:beforeAutospacing="0"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В последующем,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из рассмотренных методов тестирования знаний знаний были выделены наиболее подходящие для использования в подсистеме тестирования знаний языков описания аппаратуры методы. Кроме того, были предложены типы обратной связи, предоставляемой обучающемуся, в случае допущения им ошибки при решении задания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(таблица 2).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</w:p>
    <w:p>
      <w:pPr>
        <w:shd w:val="nil"/>
        <w:rPr>
          <w:rFonts w:ascii="Times New Roman Cyr" w:hAnsi="Times New Roman Cyr" w:cs="Times New Roman Cyr"/>
          <w:b w:val="0"/>
          <w:bCs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br w:type="page" w:clear="all"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</w:p>
    <w:p>
      <w:pPr>
        <w:ind w:firstLine="0"/>
        <w:jc w:val="right"/>
        <w:spacing w:after="0" w:afterAutospacing="0" w:line="360" w:lineRule="auto"/>
        <w:rPr>
          <w:rFonts w:ascii="Times New Roman Cyr" w:hAnsi="Times New Roman Cyr" w:cs="Times New Roman Cyr"/>
          <w:b w:val="0"/>
          <w:bCs/>
          <w:i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</w:rPr>
        <w:t xml:space="preserve">Таблица 2</w:t>
      </w:r>
      <w:r>
        <w:rPr>
          <w:i/>
          <w:iCs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  <w:t xml:space="preserve">Методы тестирования знаний в разработанной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подсистеме</w:t>
      </w:r>
      <w:r>
        <w:rPr>
          <w:rFonts w:ascii="Times New Roman Cyr" w:hAnsi="Times New Roman Cyr" w:cs="Times New Roman Cyr"/>
          <w:b/>
          <w:bCs/>
          <w:i w:val="0"/>
          <w:sz w:val="24"/>
          <w:szCs w:val="24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3"/>
        <w:gridCol w:w="1983"/>
        <w:gridCol w:w="3403"/>
        <w:gridCol w:w="34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№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Тип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Подтип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Вид обратной связи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закрытой форме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Выбор одного ответа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Текстовое пояснение ошибки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continue"/>
            <w:textDirection w:val="lrTb"/>
            <w:noWrap w:val="false"/>
          </w:tcPr>
          <w:p>
            <w:pPr>
              <w:pStyle w:val="1_4880"/>
              <w:jc w:val="center"/>
            </w:pPr>
            <w:r>
              <w:rPr>
                <w:rStyle w:val="1_7696"/>
              </w:rPr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continue"/>
            <w:textDirection w:val="lrTb"/>
            <w:noWrap w:val="false"/>
          </w:tcPr>
          <w:p>
            <w:pPr>
              <w:pStyle w:val="1_4880"/>
              <w:jc w:val="left"/>
            </w:pPr>
            <w:r>
              <w:rPr>
                <w:rStyle w:val="1_7696"/>
              </w:rPr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Выбор нескольких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Информации о наличии ложноположительных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  <w:highlight w:val="none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(ложноотрицательных)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Задание на написание исходного кода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Автоматизированное тестирование на проверяющей стороне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Информация о несоответствующих сигналах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</w:tbl>
    <w:p>
      <w:pPr>
        <w:ind w:firstLine="0"/>
        <w:jc w:val="left"/>
        <w:spacing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</w:r>
    </w:p>
    <w:p>
      <w:pPr>
        <w:ind w:firstLine="0"/>
        <w:jc w:val="left"/>
        <w:spacing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1_4880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_7696" w:customStyle="1">
    <w:name w:val="Обычный 2_character"/>
    <w:qFormat/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2023-05-05T14:18:45Z</dcterms:modified>
</cp:coreProperties>
</file>