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yellow"/>
        </w:rPr>
      </w:pPr>
      <w:r>
        <w:rPr>
          <w:rFonts w:ascii="Times New Roman Cyr" w:hAnsi="Times New Roman Cyr" w:cs="Times New Roman Cyr"/>
          <w:sz w:val="24"/>
          <w:szCs w:val="24"/>
        </w:rPr>
        <w:t xml:space="preserve">УДК 004.04</w:t>
      </w:r>
      <w:r>
        <w:rPr>
          <w:rFonts w:ascii="Times New Roman Cyr" w:hAnsi="Times New Roman Cyr" w:cs="Times New Roman Cyr"/>
        </w:rPr>
        <w:tab/>
        <w:tab/>
        <w:tab/>
        <w:tab/>
        <w:tab/>
        <w:tab/>
      </w:r>
      <w:r>
        <w:rPr>
          <w:rFonts w:ascii="Times New Roman Cyr" w:hAnsi="Times New Roman Cyr" w:cs="Times New Roman Cyr"/>
          <w:sz w:val="24"/>
          <w:szCs w:val="24"/>
          <w:highlight w:val="yellow"/>
        </w:rPr>
        <w:t xml:space="preserve">DOI: 10.18698/2541-8009-2022-10-829</w:t>
      </w:r>
      <w:r>
        <w:rPr>
          <w:sz w:val="24"/>
          <w:szCs w:val="24"/>
          <w:highlight w:val="yellow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</w:rPr>
      </w:pPr>
      <w:r>
        <w:rPr>
          <w:rFonts w:ascii="Times New Roman Cyr" w:hAnsi="Times New Roman Cyr" w:cs="Times New Roman Cyr"/>
          <w:sz w:val="24"/>
          <w:szCs w:val="24"/>
        </w:rPr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ПРОГРАММНАЯ ПОДСИСТЕМА ТЕСТИРОВАНИЯ ЗНАНИЙ ЯЗЫКОВ ОПИСАНИЯ АППАРАТУРЫ</w:t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</w:rPr>
      </w:pPr>
      <w:r>
        <w:rPr>
          <w:rFonts w:ascii="Times New Roman Cyr" w:hAnsi="Times New Roman Cyr" w:cs="Times New Roman Cyr"/>
          <w:b/>
          <w:bCs/>
          <w:sz w:val="24"/>
          <w:szCs w:val="24"/>
        </w:rPr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С.В. Астахов</w:t>
        <w:tab/>
        <w:tab/>
        <w:tab/>
        <w:tab/>
        <w:tab/>
        <w:tab/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fzastahov@gmail.com</w:t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Н.В. Лапшин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  <w:tab/>
        <w:tab/>
        <w:tab/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nikita.lapshin2000@gmail.com</w:t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Т.А. Ким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  <w:tab/>
        <w:tab/>
        <w:tab/>
        <w:tab/>
        <w:tab/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kimta@bmstu.ru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МГТУ им. Н.Э. Баумана, Москва, Российская Федерация </w:t>
      </w:r>
      <w:r>
        <w:rPr>
          <w:rFonts w:ascii="Times New Roman Cyr" w:hAnsi="Times New Roman Cyr" w:cs="Times New Roman Cyr"/>
        </w:rPr>
      </w:r>
      <w:r/>
    </w:p>
    <w:tbl>
      <w:tblPr>
        <w:tblStyle w:val="698"/>
        <w:tblW w:w="0" w:type="auto"/>
        <w:tblLayout w:type="fixed"/>
        <w:tblCellMar>
          <w:left w:w="0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527"/>
        <w:gridCol w:w="3828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527" w:type="dxa"/>
            <w:textDirection w:val="lrTb"/>
            <w:noWrap w:val="false"/>
          </w:tcPr>
          <w:p>
            <w:pPr>
              <w:spacing w:after="0" w:afterAutospacing="0" w:line="360" w:lineRule="auto"/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  <w:t xml:space="preserve">Аннотация</w:t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828" w:type="dxa"/>
            <w:textDirection w:val="lrTb"/>
            <w:noWrap w:val="false"/>
          </w:tcPr>
          <w:p>
            <w:pPr>
              <w:spacing w:after="0" w:afterAutospacing="0" w:line="360" w:lineRule="auto"/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  <w:t xml:space="preserve">Ключевые слова</w:t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527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b w:val="0"/>
                <w:bCs/>
                <w:i/>
                <w:sz w:val="24"/>
                <w:szCs w:val="24"/>
                <w:highlight w:val="none"/>
              </w:rPr>
            </w:pP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Статья 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п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освящена разработке программной подсистемы тестирования знаний языков описания аппаратуры, которая предоставляет возможности по управлению учебными материалами и автоматической проверке заданий, в том числе, заданий на описание аппаратных устройств на язык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е Verilog.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 Проведен анализ существующих систем тестирования знаний, в ходе анализа сформулированы функциональные тр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ебования и составлена диаграмма вариантов использования программной подсистемы тестирования знаний языков описания аппаратуры. Спроектирована архитектура и компоненты подсистемы. Проведено функциональное и нагрузочное тестирование разработанной подсистемы.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828" w:type="dxa"/>
            <w:textDirection w:val="lrTb"/>
            <w:noWrap w:val="false"/>
          </w:tcPr>
          <w:p>
            <w:pPr>
              <w:pStyle w:val="848"/>
              <w:ind w:firstLine="0"/>
              <w:rPr>
                <w:bCs/>
                <w:i/>
                <w:sz w:val="24"/>
                <w:szCs w:val="24"/>
                <w:highlight w:val="none"/>
              </w:rPr>
            </w:pPr>
            <w:r>
              <w:rPr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Тестирование знаний, язык описания аппаратуры</w:t>
            </w:r>
            <w:r>
              <w:rPr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, HDL, Verilog, система дистанционного обучения, образовательный портал.</w:t>
            </w:r>
            <w:r>
              <w:rPr>
                <w:i/>
                <w:iCs/>
                <w:sz w:val="24"/>
                <w:szCs w:val="24"/>
              </w:rPr>
            </w:r>
            <w:r/>
          </w:p>
          <w:p>
            <w:pPr>
              <w:spacing w:after="0" w:afterAutospacing="0" w:line="360" w:lineRule="auto"/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/>
          </w:p>
        </w:tc>
      </w:tr>
    </w:tbl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p>
      <w:pPr>
        <w:pStyle w:val="848"/>
        <w:ind w:firstLine="397"/>
        <w:jc w:val="both"/>
        <w:spacing w:before="0" w:beforeAutospacing="0"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Введение.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В настоящее время существует огромное количество образовательных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ресурсов, посвященных тематике информационных технологий. Несмотря на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это, на данный момент в открытом до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ступе наблюдается дефицит ресурсов, посвященных изучению языков описания аппаратуры. Среди существующих образовательных платформ есть лишь несколько таких, на которых возможно настроить автоматическую проверку заданий на написание исходного кода на языке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 Verilog (или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каком-либо другом языке описания аппаратуры) непосредственно в рамках веб-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приложения.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При этом процесс настройки весьма сложен, поэтому авторы курсов редко используют описанную возможность. </w:t>
      </w:r>
      <w:r>
        <w:rPr>
          <w:rFonts w:ascii="Times New Roman Cyr" w:hAnsi="Times New Roman Cyr" w:cs="Times New Roman Cyr"/>
          <w:sz w:val="24"/>
          <w:szCs w:val="24"/>
        </w:rPr>
      </w:r>
      <w:r/>
    </w:p>
    <w:p>
      <w:pPr>
        <w:pStyle w:val="848"/>
        <w:ind w:firstLine="397"/>
        <w:jc w:val="both"/>
        <w:spacing w:before="0" w:beforeAutospacing="0"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В настоящей статье рассмотрен процесс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разработки программной подсистемы тестирования знаний языков описания аппаратуры, которая предоставляет возможности по управлению учебными материалами и автоматической проверке заданий (в том числе, заданий на описание аппаратных устройств на язык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е Verilog).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48"/>
        <w:ind w:firstLine="397"/>
        <w:jc w:val="both"/>
        <w:spacing w:before="0" w:beforeAutospacing="0"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Анализ существующих систем тестирования знаний.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В ходе анализа существующих систем тестирования знаний, таких как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Huawei University, Coursera, Stepik и Moodle авторами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была предложена классификация методов тестирования знаний (таблица 1), составленная на основе классификации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методов тестирования знаний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, применяемых в системе Moodle [1]. 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48"/>
        <w:ind w:firstLine="0"/>
        <w:jc w:val="right"/>
        <w:spacing w:before="0" w:beforeAutospacing="0" w:after="0" w:afterAutospacing="0" w:line="360" w:lineRule="auto"/>
        <w:rPr>
          <w:rFonts w:ascii="Times New Roman Cyr" w:hAnsi="Times New Roman Cyr" w:cs="Times New Roman Cyr"/>
          <w:b w:val="0"/>
          <w:bCs/>
          <w:i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/>
          <w:iCs/>
          <w:sz w:val="24"/>
          <w:szCs w:val="24"/>
          <w:highlight w:val="none"/>
        </w:rPr>
        <w:t xml:space="preserve">Таблица 1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48"/>
        <w:ind w:firstLine="0"/>
        <w:jc w:val="center"/>
        <w:spacing w:before="0" w:beforeAutospacing="0" w:after="0" w:afterAutospacing="0" w:line="360" w:lineRule="auto"/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  <w:t xml:space="preserve">Классификация методов тестирования знаний</w:t>
      </w:r>
      <w:r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</w:r>
      <w:r/>
    </w:p>
    <w:tbl>
      <w:tblPr>
        <w:tblW w:w="9354" w:type="dxa"/>
        <w:tblInd w:w="0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15"/>
        <w:gridCol w:w="3827"/>
        <w:gridCol w:w="4712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848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b/>
                <w:sz w:val="24"/>
                <w:szCs w:val="24"/>
              </w:rPr>
              <w:t xml:space="preserve">№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848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b/>
                <w:sz w:val="24"/>
                <w:szCs w:val="24"/>
              </w:rPr>
              <w:t xml:space="preserve">Тип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textDirection w:val="lrTb"/>
            <w:noWrap w:val="false"/>
          </w:tcPr>
          <w:p>
            <w:pPr>
              <w:pStyle w:val="848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b/>
                <w:sz w:val="24"/>
                <w:szCs w:val="24"/>
              </w:rPr>
              <w:t xml:space="preserve">Подтип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848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1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Тестирование с ответом в закрытой форме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textDirection w:val="lrTb"/>
            <w:noWrap w:val="false"/>
          </w:tcPr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1.1 Выбор одного ответа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1.2 Выбор множественных ответов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1.3 Сопоставление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848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2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Тестирование с коротким ответом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textDirection w:val="lrTb"/>
            <w:noWrap w:val="false"/>
          </w:tcPr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2.1 С автоматизированной проверкой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2.2 С проверкой преподавателем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2.3 С перекрестной проверкой 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848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3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Тестирование с ответом в форме эссе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textDirection w:val="lrTb"/>
            <w:noWrap w:val="false"/>
          </w:tcPr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3.1 С проверкой преподавателем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3.2 С перекрестной проверкой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4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vMerge w:val="restart"/>
            <w:textDirection w:val="lrTb"/>
            <w:noWrap w:val="false"/>
          </w:tcPr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Тестирование на написание исходного кода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vMerge w:val="restart"/>
            <w:textDirection w:val="lrTb"/>
            <w:noWrap w:val="false"/>
          </w:tcPr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4.1 С проверкой по референсным значениям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4.2 Автоматизированное тестирование на проверяющей стороне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48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4.3 Другие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</w:tbl>
    <w:p>
      <w:pPr>
        <w:pStyle w:val="848"/>
        <w:ind w:firstLine="0"/>
        <w:jc w:val="left"/>
        <w:spacing w:before="0" w:beforeAutospacing="0" w:after="0" w:afterAutospacing="0" w:line="360" w:lineRule="auto"/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</w:rPr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t xml:space="preserve">В последующем,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t xml:space="preserve">из рассмотренных методов тестирования знаний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t xml:space="preserve"> знаний были выделены наиболее подходящие для использования в подсистеме тестирования знаний языков описания аппаратуры методы. Кроме того, были предложены типы обратной связи, предоставляемой обучающемуся, в случае допущения им ошибки при решении задания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t xml:space="preserve">(таблица 2).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</w:r>
      <w:r/>
    </w:p>
    <w:p>
      <w:pPr>
        <w:shd w:val="nil" w:color="auto"/>
        <w:rPr>
          <w:rFonts w:ascii="Times New Roman Cyr" w:hAnsi="Times New Roman Cyr" w:cs="Times New Roman Cyr"/>
          <w:b w:val="0"/>
          <w:bCs w:val="0"/>
          <w:sz w:val="24"/>
          <w:szCs w:val="24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br w:type="page" w:clear="all"/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</w:r>
      <w:r/>
    </w:p>
    <w:p>
      <w:pPr>
        <w:ind w:firstLine="0"/>
        <w:jc w:val="right"/>
        <w:spacing w:after="0" w:afterAutospacing="0" w:line="360" w:lineRule="auto"/>
        <w:rPr>
          <w:rFonts w:ascii="Times New Roman Cyr" w:hAnsi="Times New Roman Cyr" w:cs="Times New Roman Cyr"/>
          <w:b w:val="0"/>
          <w:bCs/>
          <w:i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/>
          <w:iCs/>
          <w:sz w:val="24"/>
          <w:szCs w:val="24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/>
          <w:iCs/>
          <w:sz w:val="24"/>
          <w:szCs w:val="24"/>
        </w:rPr>
        <w:t xml:space="preserve">Таблица 2</w:t>
      </w:r>
      <w:r>
        <w:rPr>
          <w:i/>
          <w:iCs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  <w:t xml:space="preserve">Методы тестирования знаний в разработанной </w:t>
      </w:r>
      <w:r>
        <w:rPr>
          <w:rFonts w:ascii="Times New Roman Cyr" w:hAnsi="Times New Roman Cyr" w:cs="Times New Roman Cyr"/>
          <w:b/>
          <w:bCs/>
          <w:sz w:val="24"/>
          <w:szCs w:val="24"/>
        </w:rPr>
        <w:t xml:space="preserve">подсистеме</w:t>
      </w:r>
      <w:r>
        <w:rPr>
          <w:rFonts w:ascii="Times New Roman Cyr" w:hAnsi="Times New Roman Cyr" w:cs="Times New Roman Cyr"/>
          <w:b/>
          <w:bCs/>
          <w:i w:val="0"/>
          <w:sz w:val="24"/>
          <w:szCs w:val="24"/>
        </w:rPr>
      </w:r>
      <w:r/>
    </w:p>
    <w:tbl>
      <w:tblPr>
        <w:tblW w:w="9354" w:type="dxa"/>
        <w:tblInd w:w="0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43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848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b/>
                <w:sz w:val="24"/>
                <w:szCs w:val="24"/>
              </w:rPr>
              <w:t xml:space="preserve">№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848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b/>
                <w:sz w:val="24"/>
                <w:szCs w:val="24"/>
              </w:rPr>
              <w:t xml:space="preserve">Тип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848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b/>
                <w:sz w:val="24"/>
                <w:szCs w:val="24"/>
              </w:rPr>
              <w:t xml:space="preserve">Подтип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35" w:type="dxa"/>
            <w:textDirection w:val="lrTb"/>
            <w:noWrap w:val="false"/>
          </w:tcPr>
          <w:p>
            <w:pPr>
              <w:pStyle w:val="848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b/>
                <w:sz w:val="24"/>
                <w:szCs w:val="24"/>
              </w:rPr>
              <w:t xml:space="preserve">Вид обратной связи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1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vMerge w:val="restart"/>
            <w:textDirection w:val="lrTb"/>
            <w:noWrap w:val="false"/>
          </w:tcPr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Тестирование с ответом в закрытой форме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vMerge w:val="restart"/>
            <w:textDirection w:val="lrTb"/>
            <w:noWrap w:val="false"/>
          </w:tcPr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Выбор одного ответа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35" w:type="dxa"/>
            <w:textDirection w:val="lrTb"/>
            <w:noWrap w:val="false"/>
          </w:tcPr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Текстовое пояснение ошибки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vMerge w:val="continue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rStyle w:val="849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vMerge w:val="continue"/>
            <w:textDirection w:val="lrTb"/>
            <w:noWrap w:val="false"/>
          </w:tcPr>
          <w:p>
            <w:pPr>
              <w:pStyle w:val="848"/>
              <w:jc w:val="left"/>
            </w:pPr>
            <w:r>
              <w:rPr>
                <w:rStyle w:val="849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vMerge w:val="restart"/>
            <w:textDirection w:val="lrTb"/>
            <w:noWrap w:val="false"/>
          </w:tcPr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Выбор нескольких ответов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35" w:type="dxa"/>
            <w:textDirection w:val="lrTb"/>
            <w:noWrap w:val="false"/>
          </w:tcPr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Информации о наличии ложноположительных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(ложноотрицательных) ответов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sz w:val="24"/>
                <w:szCs w:val="24"/>
              </w:rPr>
              <w:t xml:space="preserve">2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vMerge w:val="restart"/>
            <w:textDirection w:val="lrTb"/>
            <w:noWrap w:val="false"/>
          </w:tcPr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Задание на написание исходного кода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vMerge w:val="restart"/>
            <w:textDirection w:val="lrTb"/>
            <w:noWrap w:val="false"/>
          </w:tcPr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Автоматизированное тестирование на проверяющей стороне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35" w:type="dxa"/>
            <w:vMerge w:val="restart"/>
            <w:textDirection w:val="lrTb"/>
            <w:noWrap w:val="false"/>
          </w:tcPr>
          <w:p>
            <w:pPr>
              <w:pStyle w:val="848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49"/>
                <w:rFonts w:ascii="Times New Roman Cyr" w:hAnsi="Times New Roman Cyr" w:cs="Times New Roman Cyr"/>
                <w:sz w:val="24"/>
                <w:szCs w:val="24"/>
              </w:rPr>
              <w:t xml:space="preserve">Информация о несоответствующих сигналах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</w:tbl>
    <w:p>
      <w:pPr>
        <w:ind w:firstLine="0"/>
        <w:jc w:val="left"/>
        <w:spacing w:after="0" w:afterAutospacing="0" w:line="360" w:lineRule="auto"/>
        <w:rPr>
          <w:rFonts w:ascii="Times New Roman Cyr" w:hAnsi="Times New Roman Cyr" w:cs="Times New Roman Cyr"/>
          <w:b/>
          <w:bCs w:val="0"/>
          <w:i w:val="0"/>
          <w:sz w:val="24"/>
          <w:szCs w:val="24"/>
        </w:rPr>
        <w:suppressLineNumbers w:val="0"/>
      </w:pPr>
      <w:r>
        <w:rPr>
          <w:rFonts w:ascii="Times New Roman Cyr" w:hAnsi="Times New Roman Cyr" w:cs="Times New Roman Cyr"/>
          <w:b/>
          <w:bCs w:val="0"/>
          <w:i w:val="0"/>
          <w:sz w:val="24"/>
          <w:szCs w:val="24"/>
        </w:rPr>
      </w:r>
      <w:r>
        <w:rPr>
          <w:rFonts w:ascii="Times New Roman Cyr" w:hAnsi="Times New Roman Cyr" w:cs="Times New Roman Cyr"/>
          <w:b/>
          <w:bCs w:val="0"/>
          <w:i w:val="0"/>
          <w:sz w:val="24"/>
          <w:szCs w:val="24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t xml:space="preserve">Кроме того,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t xml:space="preserve">в результате проведенного анализа была составлена диаграмма вариантов использования подсистемы тестирования знаний языков описания аппаратуры, представленная на рисунке 1 [2].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06660" cy="3692911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3204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rot="5399976" flipH="0" flipV="0">
                          <a:off x="0" y="0"/>
                          <a:ext cx="4606659" cy="36929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362.7pt;height:290.8pt;mso-wrap-distance-left:0.0pt;mso-wrap-distance-top:0.0pt;mso-wrap-distance-right:0.0pt;mso-wrap-distance-bottom:0.0pt;rotation:89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Рис. 1.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Диаграмма вариантов использования подсистемы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shd w:val="nil" w:color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br w:type="page" w:clear="all"/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</w:r>
      <w:r/>
    </w:p>
    <w:p>
      <w:pPr>
        <w:ind w:firstLine="0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Проектирование архитектуры подсистемы.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После анализа аналогов необходимым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этап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ом является разработка архитектуры. Разработанную подсистему предполагается использовать как информационной системы образовательного портала, что отражено в архитектуре информационной системы, показанной на контекст-диаграмме (нотация С4) на рисунке 2 [3].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>
        <w:rPr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53691" cy="387322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23280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rot="0" flipH="0" flipV="0">
                          <a:off x="0" y="0"/>
                          <a:ext cx="4253691" cy="38732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34.9pt;height:305.0pt;mso-wrap-distance-left:0.0pt;mso-wrap-distance-top:0.0pt;mso-wrap-distance-right:0.0pt;mso-wrap-distance-bottom:0.0pt;rotation:0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Рис. 2.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Контекст-диаграмме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информационной системы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Т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ак как разработанная подсистема является весьма сложной, выполняемые в ней операции разнородны, могут потребовать использования различных языков и библиотек, а также некоторые из них могут занимать значительное время, при разработке было решено использоват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ь микросервисную архитектуру [4]. </w:t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На основе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функциональных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требований и представленной ранее диаграммы вариантов использования была разработана структура компонентов подсистемы, включающая следующие микросервисы: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взаимодействия с БД — реализует CRUD-операции над данными в БД;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анализа решений (анализатор) — выполняет проверку и анализ пользовательских решений;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синтеза устройств (синтезатор) — выполняет синтез устройств из Verilog-кода и симулирует их работу;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разбора временных диаграмм, микросервис генерации временных диаграмм wavedrom  — преобразуют временные диаграммы в удобные для хранения и обработки форматы;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анализа статистики;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основной микросервис — реализует верхнеуровневую логику подсистемы, связывает остальные микросервисы.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Детализированная архитектура разработанной подсистемы показана на контейнер-диаграмме (нотация С4) на рисунке 2.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09690" cy="6686198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68716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rot="0" flipH="0" flipV="0">
                          <a:off x="0" y="0"/>
                          <a:ext cx="4809690" cy="66861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78.7pt;height:526.5pt;mso-wrap-distance-left:0.0pt;mso-wrap-distance-top:0.0pt;mso-wrap-distance-right:0.0pt;mso-wrap-distance-bottom:0.0pt;rotation:0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Рис.</w:t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 3.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Контейнер-диаграмма разработанной подсистемы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Проектирование базы данных.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После проектирование архитектуры подсистемы была спроектирована структура ее базы данных.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В результате анализа предметной области удалось выделить описанные ниже сущности [5].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Сущность "Задание" — содержит информацию о порядковом номере задания, его условиях, правильном ответе, цене в баллах и т.п.;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С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ущность "Пользователь" — позволяет идентифицировать пользователя по ID, узнать, обладает ли пользователь правами администратора и узнать его псевдоним (т.н. "никнейм"). Кроме того, эта сущность может нести в себе дополнительную информацию, необходимую веб-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приложению образовательного портала.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Сущность "Попытка решения" — содержит информацию, об успешности и времени каждой попытки решения задания каким-либо пользователем.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Полученная даталогическая схема базы данных в нотации Мартина изображена на рисунке 4.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47152" cy="557720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53298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rot="0" flipH="0" flipV="0">
                          <a:off x="0" y="0"/>
                          <a:ext cx="4147152" cy="55772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26.5pt;height:439.1pt;mso-wrap-distance-left:0.0pt;mso-wrap-distance-top:0.0pt;mso-wrap-distance-right:0.0pt;mso-wrap-distance-bottom:0.0pt;rotation:0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Рис. 4.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Даталогическая схема базы данных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Разработка микросервиса синтеза устройств.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t xml:space="preserve">Так как объем статьи не позволяет подробно рассмотреть процесс проектирования всех микросервисов, входящих в подсистему, ниже будет описан только микросервис синтеза устройств и микросервисы для работы с временными диаграммами.</w:t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Микросервис синтеза устройств по своей сути является оберткой вокруг программы I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carus Verilog, позволяющей моделировать работу цифровых устройств, описанных на языке Verilog. Программная обертка позволяет передавать в Icarus Verilog по сети исходный код, отправленный обучающимся в качестве ответа на задание в образовательном портале.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Достоинствами Icarus Verilog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являются [6]: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11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малый размер исполняемого файла;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11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наличие консольного режима работы (удобно вызывать из программного кода через библиотеки для работы с операционной системой);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10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распространение по свободной лицензии (GNU GPL).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Обработка ответа обучающегося осуществляется в несколько этапов, за каждый из которых отвечает свой программный компонент: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8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получение HTTP-запроса на симуляцию устройства (класс Router);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8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сохранение полученных исходных кодов устрйоства и теста в файловой системе (OsLib, наличие user_id и level_id позволяет значительно снизить риск коллизии файлов);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9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получение временной диаграммы работы устройства (в формате *.vcd)  с помощью IcarusVerilog;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7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удаление временных файлов;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7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отправка HTTP-ответа, содержащего код временной диаграммы.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Диаграмма компоновки микросервиса показана на рисунке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5.</w:t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54563" cy="2852508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17274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rot="0" flipH="0" flipV="0">
                          <a:off x="0" y="0"/>
                          <a:ext cx="5054563" cy="28525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98.0pt;height:224.6pt;mso-wrap-distance-left:0.0pt;mso-wrap-distance-top:0.0pt;mso-wrap-distance-right:0.0pt;mso-wrap-distance-bottom:0.0pt;rotation:0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Рис. 5.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Диаграмма компоновки микросервиса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синтеза устройств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Микросервисы для работы с временными диаграммами.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Для преобразования временных диаграмм в подсистеме предусмотрено два микросервиса: микросервис разбора временных диаграмм и микросервис генерации диаграмм wavedrom.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И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значально микросервис синтеза устройств в ходе тестирования работы устройства формирует временную диаграмму в формате *.vcd (Приложение Е). Данный формат крайне неудобен, как для анализа в сравнении с эталонной временной диаграммой, так и для генерации гра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фического представления временной диаграммы в рамках веб-приложения.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Для преобразования временных диаграмм к более удобному для дальнейшей обработки формату был реализован микросервис разбора временных диаграмм. 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Его исх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одный код написан на Python с применением библиотеки PyDigitalWaveTools [7]. Данная библиотека преобразует временную диаграмму в формате *.vcd в формат PyDigitalWaveTools согласно алгоритму, заложенному разработчиками библиотеки. Диаграмма Джексона, описыв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ающая этот формат представлена на рисунке 6.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00616" cy="424649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92171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8602" t="7206" r="11331" b="51437"/>
                        <a:stretch/>
                      </pic:blipFill>
                      <pic:spPr bwMode="auto">
                        <a:xfrm rot="0" flipH="0" flipV="0">
                          <a:off x="0" y="0"/>
                          <a:ext cx="5100615" cy="42464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01.6pt;height:334.4pt;mso-wrap-distance-left:0.0pt;mso-wrap-distance-top:0.0pt;mso-wrap-distance-right:0.0pt;mso-wrap-distance-bottom:0.0pt;rotation:0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Рис. 6.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Формат временных диаграмм в PyDigitalWaveTools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Формат PyDigitalWaveTools намного более удобен для сравнения с эталонной временной диаграммой (в том же формате) и анализа несоответствий, однако алгоритм визуализации для этого формата пришлось бы реализовать самостоятельно.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Вместо этого было решено реализовать микросервис генерации временных диаграмм wavedrom, который преобразовал бы временные диаграммы из формата PyDigitalWaveTools в формат движка Wavedrom [8]. Данный движок позволяет визуализировать временные диаграммы поср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едством http-запроса, содержащего описание сигнала, к специальному интернет-сервису.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Описание формата для движка Wavedrom в нотации Джексона приведено на рисунке 7.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55893" cy="391088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1589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20529" t="76706" r="18376" b="0"/>
                        <a:stretch/>
                      </pic:blipFill>
                      <pic:spPr bwMode="auto">
                        <a:xfrm rot="0" flipH="0" flipV="0">
                          <a:off x="0" y="0"/>
                          <a:ext cx="4555892" cy="39108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58.7pt;height:307.9pt;mso-wrap-distance-left:0.0pt;mso-wrap-distance-top:0.0pt;mso-wrap-distance-right:0.0pt;mso-wrap-distance-bottom:0.0pt;rotation:0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Рис. 7.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Формат временных диаграмм для движка Wavedrom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Поля структуры имеют значение, описанное ниже: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13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signal — массив всех сигналов временной диаграммы;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1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name — имя сигнала;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1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wave — форма сигнала (для каждого такта может иметь значения: "0", "1", "x", "z", "." — сохранить предыдущее, "|" — разрыв, "=" — обратиться к очередному элементу "data");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46"/>
        <w:numPr>
          <w:ilvl w:val="0"/>
          <w:numId w:val="13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data — массив, содержащий строковые значения сигнала (можно, например, отобразить большое число для многоразрядной шины).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Суть алгоритма преобразования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из формата PyDigitalWaveTools в формат движка Wavedrom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состоит в том, чтобы найти наибольший общий делитель для моментов изменения сигналов (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t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subscript"/>
        </w:rPr>
        <w:t xml:space="preserve">НОД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) и затем провести "дискретизацию" сигналов по времени, просматривая, как изменялся каждый сигнал в моменты времени кратные t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subscript"/>
        </w:rPr>
        <w:t xml:space="preserve">НОД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t xml:space="preserve">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/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  <w:vertAlign w:val="baseline"/>
        </w:rPr>
        <w:t xml:space="preserve">Тестирование.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t xml:space="preserve">После проектирования и реализации подсистемы тестирования знаний языков описания аппаратуры было проведено ее функциональное и нагрузочное тестирование.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/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t xml:space="preserve">Функциональное тестирование проводилось по принципу "черного ящика", для а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t xml:space="preserve">втоматизации тестирования применялась библиотека Pytest [9]. Для создания информативных отчетов о прохождении тестов была использована библиотека Allure [10]. Все 46 функциональных тестов прошли успешно, отчет о прохождении тестов представлен на рисунке 8.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/>
    </w:p>
    <w:p>
      <w:pPr>
        <w:ind w:left="0" w:firstLine="0"/>
        <w:jc w:val="both"/>
        <w:spacing w:after="0" w:afterAutospacing="0" w:line="360" w:lineRule="auto"/>
        <w:rPr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9603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11481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28960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8pt;height:228.0pt;mso-wrap-distance-left:0.0pt;mso-wrap-distance-top:0.0pt;mso-wrap-distance-right:0.0pt;mso-wrap-distance-bottom:0.0pt;rotation:0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/>
    </w:p>
    <w:p>
      <w:pPr>
        <w:ind w:left="0" w:firstLine="0"/>
        <w:jc w:val="center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Рис. 8.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Отчет о результатах функционального тестирования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/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Кроме того, было проведено нагрузочное тестирование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основного микросервиса, микросервиса синтеза устройств и микросервиса разбора временных диаграмм. Для нагрузочного тестирования использовалась библиотека Locust [11].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От основного микросервиса требовалась средняя задержка отклика не более 500 мс, а от других микросервисов – не более 1000 мс при нагрузке в 100 пользователей. Результаты нагрузочного тестирования основного микросервиса отражены в таблицах 3 и 4.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firstLine="0"/>
        <w:jc w:val="right"/>
        <w:spacing w:after="0" w:afterAutospacing="0" w:line="360" w:lineRule="auto"/>
        <w:rPr>
          <w:rFonts w:ascii="Times New Roman Cyr" w:hAnsi="Times New Roman Cyr" w:cs="Times New Roman Cyr"/>
          <w:bCs/>
          <w:i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i/>
          <w:iCs/>
          <w:sz w:val="24"/>
          <w:szCs w:val="24"/>
          <w:highlight w:val="none"/>
        </w:rPr>
        <w:t xml:space="preserve">Таблица 3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  <w:t xml:space="preserve">Статистика запросов к основному микросервису</w:t>
      </w: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</w:r>
      <w:r/>
    </w:p>
    <w:tbl>
      <w:tblPr>
        <w:tblStyle w:val="698"/>
        <w:tblW w:w="0" w:type="auto"/>
        <w:tblLook w:val="04A0" w:firstRow="1" w:lastRow="0" w:firstColumn="1" w:lastColumn="0" w:noHBand="0" w:noVBand="1"/>
      </w:tblPr>
      <w:tblGrid>
        <w:gridCol w:w="1292"/>
        <w:gridCol w:w="1173"/>
        <w:gridCol w:w="1163"/>
        <w:gridCol w:w="1159"/>
        <w:gridCol w:w="970"/>
        <w:gridCol w:w="970"/>
        <w:gridCol w:w="992"/>
        <w:gridCol w:w="970"/>
        <w:gridCol w:w="1163"/>
      </w:tblGrid>
      <w:tr>
        <w:trPr/>
        <w:tc>
          <w:tcPr>
            <w:tcW w:w="1292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Маршрут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73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Запросы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Ошибки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59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Среднее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Мин.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Макс.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92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Сред. размер (байт)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RPS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  <w14:ligatures w14:val="none"/>
              </w:rPr>
              <w:t xml:space="preserve">Ошибки / с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1292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/levels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73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6743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59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85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3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676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92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506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111.8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0.0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1292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/stats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73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20486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5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161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2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1151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92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331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339.5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0.0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1292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Итого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73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27229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5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142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2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1151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92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374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970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451.3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163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</w:pPr>
            <w:r>
              <w:rPr>
                <w:sz w:val="24"/>
                <w:szCs w:val="24"/>
              </w:rPr>
              <w:t xml:space="preserve">0.0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shd w:val="nil" w:color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br w:type="page" w:clear="all"/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/>
    </w:p>
    <w:p>
      <w:pPr>
        <w:ind w:left="0" w:firstLine="0"/>
        <w:jc w:val="right"/>
        <w:spacing w:after="0" w:afterAutospacing="0" w:line="360" w:lineRule="auto"/>
        <w:rPr>
          <w:rFonts w:ascii="Times New Roman Cyr" w:hAnsi="Times New Roman Cyr" w:cs="Times New Roman Cyr"/>
          <w:bCs/>
          <w:i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i/>
          <w:iCs/>
          <w:sz w:val="24"/>
          <w:szCs w:val="24"/>
          <w:highlight w:val="none"/>
        </w:rPr>
        <w:t xml:space="preserve">Таблица 4</w:t>
      </w:r>
      <w:r>
        <w:rPr>
          <w:rFonts w:ascii="Times New Roman Cyr" w:hAnsi="Times New Roman Cyr" w:cs="Times New Roman Cyr"/>
          <w:b w:val="0"/>
          <w:bCs w:val="0"/>
          <w:i/>
          <w:iCs/>
          <w:sz w:val="24"/>
          <w:szCs w:val="24"/>
          <w:highlight w:val="none"/>
          <w:vertAlign w:val="baseline"/>
        </w:rPr>
      </w:r>
      <w:r/>
    </w:p>
    <w:p>
      <w:pPr>
        <w:ind w:left="0" w:firstLine="0"/>
        <w:jc w:val="center"/>
        <w:spacing w:after="0" w:afterAutospacing="0" w:line="360" w:lineRule="auto"/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  <w:t xml:space="preserve">Статистика ответов основного микросервиса</w:t>
      </w:r>
      <w:r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</w:r>
      <w:r/>
    </w:p>
    <w:tbl>
      <w:tblPr>
        <w:tblStyle w:val="698"/>
        <w:tblW w:w="0" w:type="auto"/>
        <w:tblLook w:val="04A0" w:firstRow="1" w:lastRow="0" w:firstColumn="1" w:lastColumn="0" w:noHBand="0" w:noVBand="1"/>
      </w:tblPr>
      <w:tblGrid>
        <w:gridCol w:w="1292"/>
        <w:gridCol w:w="1173"/>
        <w:gridCol w:w="1163"/>
        <w:gridCol w:w="1159"/>
        <w:gridCol w:w="970"/>
        <w:gridCol w:w="970"/>
        <w:gridCol w:w="992"/>
        <w:gridCol w:w="970"/>
        <w:gridCol w:w="1163"/>
      </w:tblGrid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Маршрут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50%ile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60%ile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70%ile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80%ile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90%ile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95%ile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99%ile (мс)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</w:rPr>
              <w:t xml:space="preserve">100%ile (мс)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/levels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78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94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110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130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160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180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220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680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/stats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110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140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190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270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370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460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630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1200</w:t>
            </w:r>
            <w:r>
              <w:rPr>
                <w:sz w:val="24"/>
                <w:szCs w:val="24"/>
              </w:rPr>
            </w:r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Итого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100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130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160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210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330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430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600</w:t>
            </w:r>
            <w:r>
              <w:rPr>
                <w:sz w:val="24"/>
                <w:szCs w:val="24"/>
              </w:rPr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84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1200</w:t>
            </w:r>
            <w:r>
              <w:rPr>
                <w:sz w:val="24"/>
                <w:szCs w:val="24"/>
              </w:rPr>
            </w:r>
            <w:r/>
          </w:p>
        </w:tc>
      </w:tr>
    </w:tbl>
    <w:p>
      <w:pPr>
        <w:ind w:left="0" w:firstLine="0"/>
        <w:jc w:val="left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  <w:vertAlign w:val="baseline"/>
        </w:rPr>
      </w:r>
      <w:r/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П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оказатели, полученные в ходе нагрузочного тестирования, находятся в допустимых пределах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, тестирование прошло успешно.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Заключение.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В рам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ках представленной статьи был рассмотрен процесс проектирования и тестирования программной подсистемы тестирования знаний языков описания аппаратуры. Были рассмотрены варианты использования подсистемы, ее архитектура, симуляция работы цифровых устройств и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преобразование временных диаграмм в ее рамках. Также, было проведено функциональное и нагрузочное тестирование подсистемы, все тесты завершились успешно.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left="0"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left="0" w:firstLine="0"/>
        <w:jc w:val="both"/>
        <w:spacing w:after="0" w:afterAutospacing="0" w:line="24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Литература</w:t>
      </w:r>
      <w:r>
        <w:rPr>
          <w:rFonts w:ascii="Times New Roman Cyr" w:hAnsi="Times New Roman Cyr" w:cs="Times New Roman Cyr"/>
          <w:b/>
          <w:bCs/>
          <w:sz w:val="24"/>
          <w:szCs w:val="24"/>
          <w:highlight w:val="yellow"/>
        </w:rPr>
      </w:r>
      <w:r/>
    </w:p>
    <w:p>
      <w:pPr>
        <w:ind w:left="0" w:firstLine="0"/>
        <w:jc w:val="both"/>
        <w:spacing w:after="0" w:afterAutospacing="0" w:line="240" w:lineRule="auto"/>
        <w:rPr>
          <w:rFonts w:ascii="Times New Roman Cyr" w:hAnsi="Times New Roman Cyr" w:cs="Times New Roman Cyr"/>
          <w:b/>
          <w:bCs/>
          <w:sz w:val="24"/>
          <w:szCs w:val="24"/>
          <w:highlight w:val="yellow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tbl>
      <w:tblPr>
        <w:tblStyle w:val="698"/>
        <w:tblW w:w="0" w:type="auto"/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4A0" w:firstRow="1" w:lastRow="0" w:firstColumn="1" w:lastColumn="0" w:noHBand="0" w:noVBand="1"/>
      </w:tblPr>
      <w:tblGrid>
        <w:gridCol w:w="425"/>
        <w:gridCol w:w="8930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[1]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8930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Е.А. Ильина, Л.Г.Егорова, А.В.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Дьяконов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Технология тестирования знаний студентов с использованием системы Moodle. Математическое и программное обеспечение систем в промышленной и социальной сферах. Магнитогорск,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ГОУ ВПО </w:t>
            </w:r>
            <w:r>
              <w:rPr>
                <w:rFonts w:ascii="Times New Roman Cyr" w:hAnsi="Times New Roman Cyr" w:eastAsia="Times New Roman" w:cs="Times New Roman Cyr"/>
                <w:color w:val="000000"/>
                <w:sz w:val="24"/>
                <w:szCs w:val="24"/>
              </w:rPr>
              <w:t xml:space="preserve">«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Магнитогорский государственный технический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университет им. Г.И. Носова</w:t>
            </w:r>
            <w:r>
              <w:rPr>
                <w:rFonts w:ascii="Times New Roman Cyr" w:hAnsi="Times New Roman Cyr" w:eastAsia="Times New Roman" w:cs="Times New Roman Cyr"/>
                <w:color w:val="000000"/>
                <w:sz w:val="24"/>
                <w:szCs w:val="24"/>
              </w:rPr>
              <w:t xml:space="preserve">»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,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2011.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[2]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Иванова Г.С. Технология программирования. М., Кнорус, 2016.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[3]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bCs w:val="0"/>
                <w:i w:val="0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C4 model. </w:t>
            </w:r>
            <w:r>
              <w:rPr>
                <w:rFonts w:ascii="Times New Roman Cyr" w:hAnsi="Times New Roman Cyr" w:eastAsia="Times New Roman" w:cs="Times New Roman Cyr"/>
                <w:i/>
                <w:iCs/>
                <w:color w:val="000000"/>
                <w:sz w:val="24"/>
                <w:szCs w:val="24"/>
              </w:rPr>
              <w:t xml:space="preserve">c4model.com: веб-сайт.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https://c4model.com/ (дата обращения: 01.02.2023).</w:t>
            </w:r>
            <w:r>
              <w:rPr>
                <w:rFonts w:ascii="Times New Roman Cyr" w:hAnsi="Times New Roman Cyr" w:cs="Times New Roman Cyr"/>
                <w:bCs w:val="0"/>
                <w:i w:val="0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[4]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С.И. Мычко. Микросервисная архитектура. Рязань,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Рязанский государственный радиотехнический университет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, 2019.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[5]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Основы правил проектирования базы данных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habr.com: веб-сайт.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https://habr.com/ru/articles/514364/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(дата обращения: 05.03.2023).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[6]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Симуляция проекта с помощью Icarus-Verilog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marsohod.org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: ве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б-сайт.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https://marsohod.org/11-blog/113-icarus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(дата обращения: 13.03.2023).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[7]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PyDigitalWaveTools.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github.com: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 ве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б-сайт.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https://github.com/Nic30/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pyDigital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  <w:p>
            <w:pPr>
              <w:jc w:val="left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WaveTools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(дата обращения: 27.03.2023).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[8]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Hitchhiker's Guide to the WaveDrom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wavedrom.com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: веб-сайт.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https://wavedrom.com/tutorial.html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(дата обращения: 03.04.2023).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[9]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Зиганшина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М.Р., Валиуллина Д.И., Зиганшин И.А. Применение фреймворка Pytest для тестирования программного кода на языке Python.  Казань,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ФГБОУ ВО </w:t>
            </w:r>
            <w:r>
              <w:rPr>
                <w:rFonts w:ascii="Times New Roman Cyr" w:hAnsi="Times New Roman Cyr" w:eastAsia="Times New Roman" w:cs="Times New Roman Cyr"/>
                <w:color w:val="000000"/>
                <w:sz w:val="24"/>
                <w:szCs w:val="24"/>
              </w:rPr>
              <w:t xml:space="preserve">«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Казанский национальный исследовательский технологический университет</w:t>
            </w:r>
            <w:r>
              <w:rPr>
                <w:rFonts w:ascii="Times New Roman Cyr" w:hAnsi="Times New Roman Cyr" w:eastAsia="Times New Roman" w:cs="Times New Roman Cyr"/>
                <w:color w:val="000000"/>
                <w:sz w:val="24"/>
                <w:szCs w:val="24"/>
              </w:rPr>
              <w:t xml:space="preserve">»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, 2022.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[10]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Allure — фреймворк от Яндекса для создания отчётов автотестов.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habr.com: веб-сайт.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https://habr.com/ru/companies/yandex/articles/232697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/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(дата обращения: 12.04.2023).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[11]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Locust - A modern load testing framework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l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ocust.io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: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веб-сайт.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https://locust.io/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(дата обращения: 18.04.2023).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</w:tbl>
    <w:p>
      <w:pPr>
        <w:ind w:left="0" w:firstLine="0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</w:rPr>
      </w:r>
      <w:r/>
    </w:p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Астахов Сергей Викторович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 — б</w:t>
      </w:r>
      <w:r>
        <w:rPr>
          <w:rFonts w:ascii="Times New Roman Cyr" w:hAnsi="Times New Roman Cyr" w:eastAsia="Times New Roman" w:cs="Times New Roman Cyr"/>
          <w:color w:val="000000"/>
          <w:sz w:val="24"/>
          <w:szCs w:val="24"/>
        </w:rPr>
        <w:t xml:space="preserve">акалавр кафедры «Компьютерные системы</w:t>
        <w:br/>
        <w:t xml:space="preserve">и сети», МГТУ им. Н.Э. Баумана, Москва, Российская Федерация.</w:t>
      </w:r>
      <w:r>
        <w:rPr>
          <w:rFonts w:ascii="Times New Roman Cyr" w:hAnsi="Times New Roman Cyr" w:cs="Times New Roman Cyr"/>
          <w:sz w:val="24"/>
          <w:szCs w:val="24"/>
        </w:rPr>
      </w:r>
      <w:r/>
    </w:p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Лапшин Никита Валерьевич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 — б</w:t>
      </w:r>
      <w:r>
        <w:rPr>
          <w:rFonts w:ascii="Times New Roman Cyr" w:hAnsi="Times New Roman Cyr" w:eastAsia="Times New Roman" w:cs="Times New Roman Cyr"/>
          <w:color w:val="000000"/>
          <w:sz w:val="24"/>
          <w:szCs w:val="24"/>
        </w:rPr>
        <w:t xml:space="preserve">акалавр кафедры «Компьютерные системы</w:t>
        <w:br/>
        <w:t xml:space="preserve">и сети», МГТУ им. Н.Э. Баумана, Москва, Российская Федерация.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Научный руководитель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— Ким Тамара Александровна, ассистент кафедры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«Компьютерные системы и сети», МГТУ им. Н.Э. Баумана, Москва, Российская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Федерация.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rPr>
          <w:b/>
          <w:bCs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Ссылку на эту статью просим оформлять следующим образом:</w:t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b/>
          <w:bCs/>
        </w:rPr>
      </w:r>
    </w:p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Астахов С.В., Лапшин Н.В. </w:t>
      </w:r>
      <w:r>
        <w:rPr>
          <w:rFonts w:ascii="Times New Roman Cyr" w:hAnsi="Times New Roman Cyr" w:cs="Times New Roman Cyr"/>
          <w:i/>
          <w:i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Программная подсистема тестирования знаний языков описания аппаратуры.</w:t>
      </w:r>
      <w:r/>
      <w:r>
        <w:rPr>
          <w:rFonts w:ascii="Times New Roman Cyr" w:hAnsi="Times New Roman Cyr" w:cs="Times New Roman Cyr"/>
          <w:i/>
          <w:iCs/>
          <w:sz w:val="24"/>
          <w:szCs w:val="24"/>
          <w:highlight w:val="none"/>
        </w:rPr>
        <w:t xml:space="preserve"> Политехнический молодежный журнал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, 2023, </w:t>
      </w:r>
      <w:r>
        <w:rPr>
          <w:rFonts w:ascii="Times New Roman Cyr" w:hAnsi="Times New Roman Cyr" w:cs="Times New Roman Cyr"/>
          <w:sz w:val="24"/>
          <w:szCs w:val="24"/>
          <w:highlight w:val="yellow"/>
        </w:rPr>
        <w:t xml:space="preserve">№ 1(75). </w:t>
      </w:r>
      <w:r>
        <w:rPr>
          <w:rFonts w:ascii="Times New Roman Cyr" w:hAnsi="Times New Roman Cyr" w:cs="Times New Roman Cyr"/>
          <w:sz w:val="24"/>
          <w:szCs w:val="24"/>
          <w:highlight w:val="yellow"/>
        </w:rPr>
        <w:t xml:space="preserve">http://dx.doi.org/10.18698/2541-8009-2022-10-829</w:t>
      </w:r>
      <w:r>
        <w:rPr>
          <w:rFonts w:ascii="Times New Roman Cyr" w:hAnsi="Times New Roman Cyr" w:cs="Times New Roman Cyr"/>
          <w:sz w:val="24"/>
          <w:szCs w:val="24"/>
          <w:highlight w:val="yellow"/>
        </w:rPr>
      </w:r>
      <w:r/>
    </w:p>
    <w:p>
      <w:pPr>
        <w:shd w:val="nil" w:color="auto"/>
        <w:rPr>
          <w:rFonts w:ascii="Times New Roman Cyr" w:hAnsi="Times New Roman Cyr" w:cs="Times New Roman Cyr"/>
          <w:sz w:val="24"/>
          <w:szCs w:val="24"/>
          <w:highlight w:val="yellow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  <w:br w:type="page" w:clear="all"/>
      </w:r>
      <w:r>
        <w:rPr>
          <w:rFonts w:ascii="Times New Roman Cyr" w:hAnsi="Times New Roman Cyr" w:cs="Times New Roman Cyr"/>
          <w:sz w:val="24"/>
          <w:szCs w:val="24"/>
          <w:highlight w:val="yellow"/>
        </w:rPr>
      </w:r>
      <w:r/>
    </w:p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SOFTWARE SUBSYSTEM FOR TESTING KNOWLEDGE OF HARDWARE DESCRIPTION LANGUAGES</w:t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p>
      <w:pPr>
        <w:ind w:firstLine="0"/>
        <w:spacing w:after="0" w:afterAutospacing="0" w:line="360" w:lineRule="auto"/>
      </w:pPr>
      <w:r>
        <w:rPr>
          <w:rFonts w:ascii="Times New Roman Cyr" w:hAnsi="Times New Roman Cyr" w:cs="Times New Roman Cyr"/>
          <w:b/>
          <w:bCs/>
          <w:sz w:val="24"/>
          <w:szCs w:val="24"/>
        </w:rPr>
      </w:r>
      <w:r>
        <w:rPr>
          <w:rFonts w:ascii="Times New Roman Cyr" w:hAnsi="Times New Roman Cyr" w:cs="Times New Roman Cyr"/>
          <w:b/>
          <w:bCs/>
          <w:sz w:val="24"/>
          <w:szCs w:val="24"/>
        </w:rPr>
      </w:r>
      <w:r/>
    </w:p>
    <w:p>
      <w:pPr>
        <w:ind w:firstLine="0"/>
        <w:spacing w:after="0" w:afterAutospacing="0" w:line="360" w:lineRule="auto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S.V. Astakhov</w:t>
        <w:tab/>
        <w:tab/>
        <w:tab/>
        <w:tab/>
        <w:tab/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fzastahov@gmail.com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spacing w:after="0" w:afterAutospacing="0" w:line="360" w:lineRule="auto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N.V. Lapshin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  <w:tab/>
        <w:tab/>
        <w:tab/>
        <w:tab/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nikita.lapshin2000@gmail.com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spacing w:after="0" w:afterAutospacing="0" w:line="360" w:lineRule="auto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T.A. Kim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  <w:tab/>
        <w:tab/>
        <w:tab/>
        <w:tab/>
        <w:tab/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kimta@bmstu.ru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spacing w:after="0" w:afterAutospacing="0" w:line="360" w:lineRule="auto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p>
      <w:pPr>
        <w:ind w:firstLine="0"/>
        <w:spacing w:after="0" w:afterAutospacing="0" w:line="360" w:lineRule="auto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Bauman Moscow State Technical University, Moscow, Russian Federation</w:t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tbl>
      <w:tblPr>
        <w:tblStyle w:val="698"/>
        <w:tblW w:w="0" w:type="auto"/>
        <w:tblLayout w:type="fixed"/>
        <w:tblCellMar>
          <w:left w:w="0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527"/>
        <w:gridCol w:w="3828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527" w:type="dxa"/>
            <w:textDirection w:val="lrTb"/>
            <w:noWrap w:val="false"/>
          </w:tcPr>
          <w:p>
            <w:pPr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</w:pP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  <w:t xml:space="preserve">Abstract</w:t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828" w:type="dxa"/>
            <w:textDirection w:val="lrTb"/>
            <w:noWrap w:val="false"/>
          </w:tcPr>
          <w:p>
            <w:pPr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</w:pP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  <w:t xml:space="preserve">Keywords</w:t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527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bCs/>
                <w:highlight w:val="none"/>
              </w:rPr>
            </w:pP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T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he article is devoted to the development of a software subsystem for testing knowledge of hardware description languages, which provides opportunities for managing educational materials and automatically checking tasks, including tasks for describing hardw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a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re devices in the Verilog language. The analysis of existing knowledge testing systems has been carried out, during the analysis functional requirements have been formulated and a diagram of the use cases of the software subsystem for testing knowledge of 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the hardware description languages has been compiled. The architecture and components of the subsystem are designed. Functional and load testing of the developed subsystem was carried out.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828" w:type="dxa"/>
            <w:textDirection w:val="lrTb"/>
            <w:noWrap w:val="false"/>
          </w:tcPr>
          <w:p>
            <w:pPr>
              <w:pStyle w:val="848"/>
              <w:ind w:firstLine="0"/>
            </w:pPr>
            <w:r>
              <w:rPr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Knowledge testing, hardware description language, HDL, Verilog, distance learning system, educational portal.</w:t>
            </w:r>
            <w:r>
              <w:rPr>
                <w:b w:val="0"/>
                <w:bCs w:val="0"/>
                <w:i/>
                <w:iCs/>
                <w:sz w:val="24"/>
                <w:szCs w:val="24"/>
                <w:highlight w:val="none"/>
              </w:rPr>
            </w:r>
            <w:r/>
          </w:p>
          <w:p>
            <w:pPr>
              <w:spacing w:after="0" w:afterAutospacing="0" w:line="360" w:lineRule="auto"/>
              <w:rPr>
                <w:rFonts w:ascii="Times New Roman Cyr" w:hAnsi="Times New Roman Cyr" w:cs="Times New Roman Cyr"/>
                <w:bCs/>
                <w:i/>
                <w:highlight w:val="none"/>
              </w:rPr>
            </w:pP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/>
          </w:p>
        </w:tc>
      </w:tr>
    </w:tbl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24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References</w:t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240" w:lineRule="auto"/>
        <w:rPr>
          <w:rFonts w:ascii="Times New Roman Cyr" w:hAnsi="Times New Roman Cyr" w:cs="Times New Roman Cyr"/>
          <w:b/>
          <w:bCs/>
          <w:sz w:val="24"/>
          <w:szCs w:val="24"/>
          <w:highlight w:val="yellow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yellow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yellow"/>
        </w:rPr>
      </w:r>
      <w:r/>
    </w:p>
    <w:tbl>
      <w:tblPr>
        <w:tblStyle w:val="698"/>
        <w:tblW w:w="0" w:type="auto"/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4A0" w:firstRow="1" w:lastRow="0" w:firstColumn="1" w:lastColumn="0" w:noHBand="0" w:noVBand="1"/>
      </w:tblPr>
      <w:tblGrid>
        <w:gridCol w:w="425"/>
        <w:gridCol w:w="8930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[1]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8930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E.A. Ilina, L.G.Egorova, A.V. Dyakonov.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Technology of testing students' knowledge using the Moodle system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Matematicheskoe i programmnoe obespechenie sistem v promyshlennoj i socialnoj sferah </w:t>
            </w:r>
            <w:r>
              <w:rPr>
                <w:rFonts w:ascii="Times New Roman Cyr" w:hAnsi="Times New Roman Cyr" w:cs="Times New Roman Cyr"/>
                <w:i w:val="0"/>
                <w:iCs w:val="0"/>
                <w:sz w:val="24"/>
                <w:szCs w:val="24"/>
                <w:highlight w:val="none"/>
              </w:rPr>
              <w:t xml:space="preserve">[</w:t>
            </w:r>
            <w:r>
              <w:rPr>
                <w:rFonts w:ascii="Times New Roman Cyr" w:hAnsi="Times New Roman Cyr" w:cs="Times New Roman Cyr"/>
                <w:i w:val="0"/>
                <w:iCs w:val="0"/>
                <w:sz w:val="24"/>
                <w:szCs w:val="24"/>
                <w:highlight w:val="none"/>
              </w:rPr>
              <w:t xml:space="preserve">Mathematical and software systems in the industrial and social spheres</w:t>
            </w:r>
            <w:r>
              <w:rPr>
                <w:rFonts w:ascii="Times New Roman Cyr" w:hAnsi="Times New Roman Cyr" w:cs="Times New Roman Cyr"/>
                <w:i w:val="0"/>
                <w:iCs w:val="0"/>
                <w:sz w:val="24"/>
                <w:szCs w:val="24"/>
                <w:highlight w:val="none"/>
              </w:rPr>
              <w:t xml:space="preserve">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Magnitogorsk, GOU VPO «Magnitogorskij gosudarstvenn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yj tekhnicheskij universitet im. G.I. Nosova», 2011 (in Russ.).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[2]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Ivanova G.S.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Tekhnologiya programmirovaniya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[Programming Technology]. M., Knorus, 2016.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(in Russ.).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/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[3]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bCs w:val="0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C4 model. </w:t>
            </w:r>
            <w:r>
              <w:rPr>
                <w:rFonts w:ascii="Times New Roman Cyr" w:hAnsi="Times New Roman Cyr" w:eastAsia="Times New Roman" w:cs="Times New Roman Cyr"/>
                <w:i/>
                <w:iCs/>
                <w:color w:val="000000"/>
                <w:sz w:val="24"/>
                <w:szCs w:val="24"/>
              </w:rPr>
              <w:t xml:space="preserve">c4model.com: website.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https://c4model.com/ (accessed: 01.02.2023)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/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bCs w:val="0"/>
                <w:i w:val="0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[4]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S.I. Mychko.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Mikroservisnaya arhitektura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[Microservice architecture]. Ryazan, Ryazan State Radio Engineering University, 2019.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(in Russ.).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/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</w:p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[5]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Osnovy pravil proektirovaniya bazy dannyh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[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Basics of database Design Rules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]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(in Russ.).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habr.com: website.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https://habr.com/ru/articles/514364/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accessed</w:t>
            </w:r>
            <w:r/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: 05.03.2023).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[6]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Simulyaciya proekta s pomoshchyu Icarus-Verilog [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Project simulation using Icarus-Verilog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(in Russ.).</w:t>
            </w:r>
            <w:r/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marsohod.org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: website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https://marsohod.org/11-blog/113-icarus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accessed</w:t>
            </w:r>
            <w:r/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: 13.03.2023).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[7]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PyDigitalWaveTools.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github.com: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 website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https://github.com/Nic30/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pyDigital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  <w:p>
            <w:pPr>
              <w:jc w:val="left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WaveTools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accessed</w:t>
            </w:r>
            <w:r/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: 27.03.2023).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[8]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Hitchhiker's Guide to the WaveDrom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wavedrom.com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: website.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https://wavedrom.com/tutorial.html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(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accessed</w:t>
            </w:r>
            <w:r/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: 03.04.2023).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[9]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Ziganshina M.R., Valiullina D.I., Ziganshin I.A.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Primenenie frejmvorka Pytest dlya testirovaniya programmnogo koda na yazyke Python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[Application of the Pytest framework for testing software code in Python]. Kazan,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FGBOU VO «Kazanskij nacional'nyj issledovatel'skij tekhnologicheskij universitet»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, 2022.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(in Russ.).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/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[10]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Allure — frejmvork ot YAndeksa dlya sozdaniya otchyotov avtotestov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[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Allure — framework from Yandex for creating autotest reports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]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(in Russ.)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habr.com: website.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https://habr.com/ru/companies/yandex/articles/232697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/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(accessed: 12.04.2023).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[11]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930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highlight w:val="none"/>
              </w:rPr>
              <w:suppressLineNumbers w:val="0"/>
            </w:pP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Locust - A modern load testing framework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. l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ocust.io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: </w:t>
            </w:r>
            <w:r>
              <w:rPr>
                <w:rFonts w:ascii="Times New Roman Cyr" w:hAnsi="Times New Roman Cyr" w:cs="Times New Roman Cyr"/>
                <w:i/>
                <w:iCs/>
                <w:sz w:val="24"/>
                <w:szCs w:val="24"/>
                <w:highlight w:val="none"/>
              </w:rPr>
              <w:t xml:space="preserve">website.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URL: 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https://locust.io/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  <w:t xml:space="preserve"> (accessed: 18.04.2023).</w:t>
            </w:r>
            <w:r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r>
            <w:r/>
          </w:p>
        </w:tc>
      </w:tr>
    </w:tbl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yellow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yellow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yellow"/>
        </w:rPr>
      </w:r>
    </w:p>
    <w:p>
      <w:pPr>
        <w:ind w:left="0" w:right="0" w:firstLine="0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Astakhov S.V.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 — B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.Sc. Student, Department of Computer Systems and Networks, 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Bauman Moscow State Technical University, Moscow, Russian Federation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.</w:t>
      </w:r>
      <w:r/>
      <w:r/>
      <w:r>
        <w:rPr>
          <w:rFonts w:ascii="Times New Roman Cyr" w:hAnsi="Times New Roman Cyr" w:cs="Times New Roman Cyr"/>
          <w:sz w:val="24"/>
          <w:szCs w:val="24"/>
          <w:highlight w:val="none"/>
        </w:rPr>
      </w:r>
    </w:p>
    <w:p>
      <w:pPr>
        <w:ind w:left="0" w:right="0" w:firstLine="0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Lapshin N.V.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 —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B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.Sc. Student, Department of Computer Systems and Networks,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Bauman Moscow State Technical University, Moscow, Russian Federation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.</w:t>
      </w:r>
      <w:r/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Scientific advisor</w:t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— Kim T.A., As</w:t>
      </w:r>
      <w:r/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sis. Professor, Department of Computer Systems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</w:p>
    <w:p>
      <w:pPr>
        <w:ind w:left="0" w:right="0" w:firstLine="0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and Networks, Bauman Moscow State Technical University, Moscow, Russian Fed-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</w:p>
    <w:p>
      <w:pPr>
        <w:ind w:left="0" w:right="0" w:firstLine="0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eration.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  <w:r/>
    </w:p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</w:p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Please cite this article in English as:</w:t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b/>
          <w:bCs/>
        </w:rPr>
      </w:r>
    </w:p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highlight w:val="none"/>
        </w:rPr>
        <w:suppressLineNumbers w:val="0"/>
      </w:pP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Astakhov S.V.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,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Lapshin N.V.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Software subsystem for testing knowledge of hardware description languages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. </w:t>
      </w:r>
      <w:r>
        <w:rPr>
          <w:rFonts w:ascii="Times New Roman Cyr" w:hAnsi="Times New Roman Cyr" w:cs="Times New Roman Cyr"/>
          <w:i/>
          <w:i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i/>
          <w:iCs/>
          <w:sz w:val="24"/>
          <w:szCs w:val="24"/>
          <w:highlight w:val="none"/>
        </w:rPr>
        <w:t xml:space="preserve">Politekhnicheskij molodezhnyj zhurnal</w:t>
      </w:r>
      <w:r>
        <w:rPr>
          <w:rFonts w:ascii="Times New Roman Cyr" w:hAnsi="Times New Roman Cyr" w:cs="Times New Roman Cyr"/>
          <w:i/>
          <w:iCs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i w:val="0"/>
          <w:iCs w:val="0"/>
          <w:sz w:val="24"/>
          <w:szCs w:val="24"/>
          <w:highlight w:val="none"/>
        </w:rPr>
        <w:t xml:space="preserve">[</w:t>
      </w:r>
      <w:r>
        <w:rPr>
          <w:rFonts w:ascii="Times New Roman Cyr" w:hAnsi="Times New Roman Cyr" w:cs="Times New Roman Cyr"/>
          <w:i w:val="0"/>
          <w:iCs w:val="0"/>
          <w:sz w:val="24"/>
          <w:szCs w:val="24"/>
          <w:highlight w:val="none"/>
        </w:rPr>
        <w:t xml:space="preserve">Politechnical student journal</w:t>
      </w:r>
      <w:r>
        <w:rPr>
          <w:rFonts w:ascii="Times New Roman Cyr" w:hAnsi="Times New Roman Cyr" w:cs="Times New Roman Cyr"/>
          <w:i w:val="0"/>
          <w:iCs w:val="0"/>
          <w:sz w:val="24"/>
          <w:szCs w:val="24"/>
          <w:highlight w:val="none"/>
        </w:rPr>
        <w:t xml:space="preserve">]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, 2023, </w:t>
      </w:r>
      <w:r>
        <w:rPr>
          <w:rFonts w:ascii="Times New Roman Cyr" w:hAnsi="Times New Roman Cyr" w:cs="Times New Roman Cyr"/>
          <w:sz w:val="24"/>
          <w:szCs w:val="24"/>
          <w:highlight w:val="yellow"/>
        </w:rPr>
        <w:t xml:space="preserve">№ 1(75). </w:t>
      </w:r>
      <w:r>
        <w:rPr>
          <w:rFonts w:ascii="Times New Roman Cyr" w:hAnsi="Times New Roman Cyr" w:cs="Times New Roman Cyr"/>
          <w:sz w:val="24"/>
          <w:szCs w:val="24"/>
          <w:highlight w:val="yellow"/>
        </w:rPr>
      </w:r>
      <w:r>
        <w:rPr>
          <w:rFonts w:ascii="Times New Roman Cyr" w:hAnsi="Times New Roman Cyr" w:cs="Times New Roman Cyr"/>
          <w:sz w:val="24"/>
          <w:szCs w:val="24"/>
          <w:highlight w:val="yellow"/>
        </w:rPr>
        <w:t xml:space="preserve">http://dx.doi.org/10.18698/2541-8009-2022-10-829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(in Russ.).</w:t>
      </w:r>
      <w:r>
        <w:rPr>
          <w:rFonts w:ascii="Times New Roman Cyr" w:hAnsi="Times New Roman Cyr" w:cs="Times New Roman Cyr"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yellow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 Cyr">
    <w:panose1 w:val="02020603050405020304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106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826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5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6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86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70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426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46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866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106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826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5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6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86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70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426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46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866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66">
    <w:name w:val="Heading 1"/>
    <w:basedOn w:val="842"/>
    <w:next w:val="842"/>
    <w:link w:val="667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67">
    <w:name w:val="Heading 1 Char"/>
    <w:link w:val="666"/>
    <w:uiPriority w:val="9"/>
    <w:rPr>
      <w:rFonts w:ascii="Arial" w:hAnsi="Arial" w:eastAsia="Arial" w:cs="Arial"/>
      <w:sz w:val="40"/>
      <w:szCs w:val="40"/>
    </w:rPr>
  </w:style>
  <w:style w:type="paragraph" w:styleId="668">
    <w:name w:val="Heading 2"/>
    <w:basedOn w:val="842"/>
    <w:next w:val="842"/>
    <w:link w:val="669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69">
    <w:name w:val="Heading 2 Char"/>
    <w:link w:val="668"/>
    <w:uiPriority w:val="9"/>
    <w:rPr>
      <w:rFonts w:ascii="Arial" w:hAnsi="Arial" w:eastAsia="Arial" w:cs="Arial"/>
      <w:sz w:val="34"/>
    </w:rPr>
  </w:style>
  <w:style w:type="paragraph" w:styleId="670">
    <w:name w:val="Heading 3"/>
    <w:basedOn w:val="842"/>
    <w:next w:val="842"/>
    <w:link w:val="671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71">
    <w:name w:val="Heading 3 Char"/>
    <w:link w:val="670"/>
    <w:uiPriority w:val="9"/>
    <w:rPr>
      <w:rFonts w:ascii="Arial" w:hAnsi="Arial" w:eastAsia="Arial" w:cs="Arial"/>
      <w:sz w:val="30"/>
      <w:szCs w:val="30"/>
    </w:rPr>
  </w:style>
  <w:style w:type="paragraph" w:styleId="672">
    <w:name w:val="Heading 4"/>
    <w:basedOn w:val="842"/>
    <w:next w:val="842"/>
    <w:link w:val="67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73">
    <w:name w:val="Heading 4 Char"/>
    <w:link w:val="672"/>
    <w:uiPriority w:val="9"/>
    <w:rPr>
      <w:rFonts w:ascii="Arial" w:hAnsi="Arial" w:eastAsia="Arial" w:cs="Arial"/>
      <w:b/>
      <w:bCs/>
      <w:sz w:val="26"/>
      <w:szCs w:val="26"/>
    </w:rPr>
  </w:style>
  <w:style w:type="paragraph" w:styleId="674">
    <w:name w:val="Heading 5"/>
    <w:basedOn w:val="842"/>
    <w:next w:val="842"/>
    <w:link w:val="67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75">
    <w:name w:val="Heading 5 Char"/>
    <w:link w:val="674"/>
    <w:uiPriority w:val="9"/>
    <w:rPr>
      <w:rFonts w:ascii="Arial" w:hAnsi="Arial" w:eastAsia="Arial" w:cs="Arial"/>
      <w:b/>
      <w:bCs/>
      <w:sz w:val="24"/>
      <w:szCs w:val="24"/>
    </w:rPr>
  </w:style>
  <w:style w:type="paragraph" w:styleId="676">
    <w:name w:val="Heading 6"/>
    <w:basedOn w:val="842"/>
    <w:next w:val="842"/>
    <w:link w:val="67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77">
    <w:name w:val="Heading 6 Char"/>
    <w:link w:val="676"/>
    <w:uiPriority w:val="9"/>
    <w:rPr>
      <w:rFonts w:ascii="Arial" w:hAnsi="Arial" w:eastAsia="Arial" w:cs="Arial"/>
      <w:b/>
      <w:bCs/>
      <w:sz w:val="22"/>
      <w:szCs w:val="22"/>
    </w:rPr>
  </w:style>
  <w:style w:type="paragraph" w:styleId="678">
    <w:name w:val="Heading 7"/>
    <w:basedOn w:val="842"/>
    <w:next w:val="842"/>
    <w:link w:val="67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79">
    <w:name w:val="Heading 7 Char"/>
    <w:link w:val="67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80">
    <w:name w:val="Heading 8"/>
    <w:basedOn w:val="842"/>
    <w:next w:val="842"/>
    <w:link w:val="68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81">
    <w:name w:val="Heading 8 Char"/>
    <w:link w:val="680"/>
    <w:uiPriority w:val="9"/>
    <w:rPr>
      <w:rFonts w:ascii="Arial" w:hAnsi="Arial" w:eastAsia="Arial" w:cs="Arial"/>
      <w:i/>
      <w:iCs/>
      <w:sz w:val="22"/>
      <w:szCs w:val="22"/>
    </w:rPr>
  </w:style>
  <w:style w:type="paragraph" w:styleId="682">
    <w:name w:val="Heading 9"/>
    <w:basedOn w:val="842"/>
    <w:next w:val="842"/>
    <w:link w:val="68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83">
    <w:name w:val="Heading 9 Char"/>
    <w:link w:val="682"/>
    <w:uiPriority w:val="9"/>
    <w:rPr>
      <w:rFonts w:ascii="Arial" w:hAnsi="Arial" w:eastAsia="Arial" w:cs="Arial"/>
      <w:i/>
      <w:iCs/>
      <w:sz w:val="21"/>
      <w:szCs w:val="21"/>
    </w:rPr>
  </w:style>
  <w:style w:type="paragraph" w:styleId="684">
    <w:name w:val="Title"/>
    <w:basedOn w:val="842"/>
    <w:next w:val="842"/>
    <w:link w:val="68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85">
    <w:name w:val="Title Char"/>
    <w:link w:val="684"/>
    <w:uiPriority w:val="10"/>
    <w:rPr>
      <w:sz w:val="48"/>
      <w:szCs w:val="48"/>
    </w:rPr>
  </w:style>
  <w:style w:type="paragraph" w:styleId="686">
    <w:name w:val="Subtitle"/>
    <w:basedOn w:val="842"/>
    <w:next w:val="842"/>
    <w:link w:val="687"/>
    <w:uiPriority w:val="11"/>
    <w:qFormat/>
    <w:pPr>
      <w:spacing w:before="200" w:after="200"/>
    </w:pPr>
    <w:rPr>
      <w:sz w:val="24"/>
      <w:szCs w:val="24"/>
    </w:rPr>
  </w:style>
  <w:style w:type="character" w:styleId="687">
    <w:name w:val="Subtitle Char"/>
    <w:link w:val="686"/>
    <w:uiPriority w:val="11"/>
    <w:rPr>
      <w:sz w:val="24"/>
      <w:szCs w:val="24"/>
    </w:rPr>
  </w:style>
  <w:style w:type="paragraph" w:styleId="688">
    <w:name w:val="Quote"/>
    <w:basedOn w:val="842"/>
    <w:next w:val="842"/>
    <w:link w:val="689"/>
    <w:uiPriority w:val="29"/>
    <w:qFormat/>
    <w:pPr>
      <w:ind w:left="720" w:right="720"/>
    </w:pPr>
    <w:rPr>
      <w:i/>
    </w:rPr>
  </w:style>
  <w:style w:type="character" w:styleId="689">
    <w:name w:val="Quote Char"/>
    <w:link w:val="688"/>
    <w:uiPriority w:val="29"/>
    <w:rPr>
      <w:i/>
    </w:rPr>
  </w:style>
  <w:style w:type="paragraph" w:styleId="690">
    <w:name w:val="Intense Quote"/>
    <w:basedOn w:val="842"/>
    <w:next w:val="842"/>
    <w:link w:val="69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91">
    <w:name w:val="Intense Quote Char"/>
    <w:link w:val="690"/>
    <w:uiPriority w:val="30"/>
    <w:rPr>
      <w:i/>
    </w:rPr>
  </w:style>
  <w:style w:type="paragraph" w:styleId="692">
    <w:name w:val="Header"/>
    <w:basedOn w:val="842"/>
    <w:link w:val="69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3">
    <w:name w:val="Header Char"/>
    <w:link w:val="692"/>
    <w:uiPriority w:val="99"/>
  </w:style>
  <w:style w:type="paragraph" w:styleId="694">
    <w:name w:val="Footer"/>
    <w:basedOn w:val="842"/>
    <w:link w:val="69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5">
    <w:name w:val="Footer Char"/>
    <w:link w:val="694"/>
    <w:uiPriority w:val="99"/>
  </w:style>
  <w:style w:type="paragraph" w:styleId="696">
    <w:name w:val="Caption"/>
    <w:basedOn w:val="842"/>
    <w:next w:val="84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97">
    <w:name w:val="Caption Char"/>
    <w:basedOn w:val="696"/>
    <w:link w:val="694"/>
    <w:uiPriority w:val="99"/>
  </w:style>
  <w:style w:type="table" w:styleId="698">
    <w:name w:val="Table Grid"/>
    <w:basedOn w:val="84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9">
    <w:name w:val="Table Grid Light"/>
    <w:basedOn w:val="84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0">
    <w:name w:val="Plain Table 1"/>
    <w:basedOn w:val="84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1">
    <w:name w:val="Plain Table 2"/>
    <w:basedOn w:val="84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2">
    <w:name w:val="Plain Table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03">
    <w:name w:val="Plain Table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4">
    <w:name w:val="Plain Table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05">
    <w:name w:val="Grid Table 1 Light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6">
    <w:name w:val="Grid Table 1 Light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7">
    <w:name w:val="Grid Table 1 Light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8">
    <w:name w:val="Grid Table 1 Light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9">
    <w:name w:val="Grid Table 1 Light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0">
    <w:name w:val="Grid Table 1 Light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1">
    <w:name w:val="Grid Table 1 Light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2">
    <w:name w:val="Grid Table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2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2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2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2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2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2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3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3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3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3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3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3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4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27">
    <w:name w:val="Grid Table 4 - Accent 1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28">
    <w:name w:val="Grid Table 4 - Accent 2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29">
    <w:name w:val="Grid Table 4 - Accent 3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30">
    <w:name w:val="Grid Table 4 - Accent 4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31">
    <w:name w:val="Grid Table 4 - Accent 5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32">
    <w:name w:val="Grid Table 4 - Accent 6"/>
    <w:basedOn w:val="8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33">
    <w:name w:val="Grid Table 5 Dark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34">
    <w:name w:val="Grid Table 5 Dark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35">
    <w:name w:val="Grid Table 5 Dark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36">
    <w:name w:val="Grid Table 5 Dark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37">
    <w:name w:val="Grid Table 5 Dark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38">
    <w:name w:val="Grid Table 5 Dark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39">
    <w:name w:val="Grid Table 5 Dark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40">
    <w:name w:val="Grid Table 6 Colorful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41">
    <w:name w:val="Grid Table 6 Colorful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42">
    <w:name w:val="Grid Table 6 Colorful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43">
    <w:name w:val="Grid Table 6 Colorful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44">
    <w:name w:val="Grid Table 6 Colorful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45">
    <w:name w:val="Grid Table 6 Colorful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6">
    <w:name w:val="Grid Table 6 Colorful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7">
    <w:name w:val="Grid Table 7 Colorful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Grid Table 7 Colorful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Grid Table 7 Colorful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7 Colorful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7 Colorful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7 Colorful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7 Colorful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List Table 1 Light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List Table 1 Light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List Table 1 Light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List Table 1 Light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List Table 1 Light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List Table 1 Light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List Table 1 Light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List Table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62">
    <w:name w:val="List Table 2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63">
    <w:name w:val="List Table 2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64">
    <w:name w:val="List Table 2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65">
    <w:name w:val="List Table 2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66">
    <w:name w:val="List Table 2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67">
    <w:name w:val="List Table 2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68">
    <w:name w:val="List Table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3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3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3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3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3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3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List Table 4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List Table 4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List Table 4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List Table 4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List Table 4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List Table 4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List Table 5 Dark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3">
    <w:name w:val="List Table 5 Dark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4">
    <w:name w:val="List Table 5 Dark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5">
    <w:name w:val="List Table 5 Dark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6">
    <w:name w:val="List Table 5 Dark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7">
    <w:name w:val="List Table 5 Dark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8">
    <w:name w:val="List Table 5 Dark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9">
    <w:name w:val="List Table 6 Colorful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90">
    <w:name w:val="List Table 6 Colorful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91">
    <w:name w:val="List Table 6 Colorful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92">
    <w:name w:val="List Table 6 Colorful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93">
    <w:name w:val="List Table 6 Colorful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94">
    <w:name w:val="List Table 6 Colorful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95">
    <w:name w:val="List Table 6 Colorful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96">
    <w:name w:val="List Table 7 Colorful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97">
    <w:name w:val="List Table 7 Colorful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98">
    <w:name w:val="List Table 7 Colorful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99">
    <w:name w:val="List Table 7 Colorful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00">
    <w:name w:val="List Table 7 Colorful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01">
    <w:name w:val="List Table 7 Colorful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02">
    <w:name w:val="List Table 7 Colorful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03">
    <w:name w:val="Lined - Accent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4">
    <w:name w:val="Lined - Accent 1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5">
    <w:name w:val="Lined - Accent 2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6">
    <w:name w:val="Lined - Accent 3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7">
    <w:name w:val="Lined - Accent 4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8">
    <w:name w:val="Lined - Accent 5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9">
    <w:name w:val="Lined - Accent 6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10">
    <w:name w:val="Bordered &amp; Lined - Accent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11">
    <w:name w:val="Bordered &amp; Lined - Accent 1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12">
    <w:name w:val="Bordered &amp; Lined - Accent 2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13">
    <w:name w:val="Bordered &amp; Lined - Accent 3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14">
    <w:name w:val="Bordered &amp; Lined - Accent 4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15">
    <w:name w:val="Bordered &amp; Lined - Accent 5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16">
    <w:name w:val="Bordered &amp; Lined - Accent 6"/>
    <w:basedOn w:val="8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17">
    <w:name w:val="Bordered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18">
    <w:name w:val="Bordered - Accent 1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19">
    <w:name w:val="Bordered - Accent 2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20">
    <w:name w:val="Bordered - Accent 3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21">
    <w:name w:val="Bordered - Accent 4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22">
    <w:name w:val="Bordered - Accent 5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23">
    <w:name w:val="Bordered - Accent 6"/>
    <w:basedOn w:val="8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24">
    <w:name w:val="Hyperlink"/>
    <w:uiPriority w:val="99"/>
    <w:unhideWhenUsed/>
    <w:rPr>
      <w:color w:val="0000ff" w:themeColor="hyperlink"/>
      <w:u w:val="single"/>
    </w:rPr>
  </w:style>
  <w:style w:type="paragraph" w:styleId="825">
    <w:name w:val="footnote text"/>
    <w:basedOn w:val="842"/>
    <w:link w:val="826"/>
    <w:uiPriority w:val="99"/>
    <w:semiHidden/>
    <w:unhideWhenUsed/>
    <w:pPr>
      <w:spacing w:after="40" w:line="240" w:lineRule="auto"/>
    </w:pPr>
    <w:rPr>
      <w:sz w:val="18"/>
    </w:rPr>
  </w:style>
  <w:style w:type="character" w:styleId="826">
    <w:name w:val="Footnote Text Char"/>
    <w:link w:val="825"/>
    <w:uiPriority w:val="99"/>
    <w:rPr>
      <w:sz w:val="18"/>
    </w:rPr>
  </w:style>
  <w:style w:type="character" w:styleId="827">
    <w:name w:val="footnote reference"/>
    <w:uiPriority w:val="99"/>
    <w:unhideWhenUsed/>
    <w:rPr>
      <w:vertAlign w:val="superscript"/>
    </w:rPr>
  </w:style>
  <w:style w:type="paragraph" w:styleId="828">
    <w:name w:val="endnote text"/>
    <w:basedOn w:val="842"/>
    <w:link w:val="829"/>
    <w:uiPriority w:val="99"/>
    <w:semiHidden/>
    <w:unhideWhenUsed/>
    <w:pPr>
      <w:spacing w:after="0" w:line="240" w:lineRule="auto"/>
    </w:pPr>
    <w:rPr>
      <w:sz w:val="20"/>
    </w:rPr>
  </w:style>
  <w:style w:type="character" w:styleId="829">
    <w:name w:val="Endnote Text Char"/>
    <w:link w:val="828"/>
    <w:uiPriority w:val="99"/>
    <w:rPr>
      <w:sz w:val="20"/>
    </w:rPr>
  </w:style>
  <w:style w:type="character" w:styleId="830">
    <w:name w:val="endnote reference"/>
    <w:uiPriority w:val="99"/>
    <w:semiHidden/>
    <w:unhideWhenUsed/>
    <w:rPr>
      <w:vertAlign w:val="superscript"/>
    </w:rPr>
  </w:style>
  <w:style w:type="paragraph" w:styleId="831">
    <w:name w:val="toc 1"/>
    <w:basedOn w:val="842"/>
    <w:next w:val="842"/>
    <w:uiPriority w:val="39"/>
    <w:unhideWhenUsed/>
    <w:pPr>
      <w:ind w:left="0" w:right="0" w:firstLine="0"/>
      <w:spacing w:after="57"/>
    </w:pPr>
  </w:style>
  <w:style w:type="paragraph" w:styleId="832">
    <w:name w:val="toc 2"/>
    <w:basedOn w:val="842"/>
    <w:next w:val="842"/>
    <w:uiPriority w:val="39"/>
    <w:unhideWhenUsed/>
    <w:pPr>
      <w:ind w:left="283" w:right="0" w:firstLine="0"/>
      <w:spacing w:after="57"/>
    </w:pPr>
  </w:style>
  <w:style w:type="paragraph" w:styleId="833">
    <w:name w:val="toc 3"/>
    <w:basedOn w:val="842"/>
    <w:next w:val="842"/>
    <w:uiPriority w:val="39"/>
    <w:unhideWhenUsed/>
    <w:pPr>
      <w:ind w:left="567" w:right="0" w:firstLine="0"/>
      <w:spacing w:after="57"/>
    </w:pPr>
  </w:style>
  <w:style w:type="paragraph" w:styleId="834">
    <w:name w:val="toc 4"/>
    <w:basedOn w:val="842"/>
    <w:next w:val="842"/>
    <w:uiPriority w:val="39"/>
    <w:unhideWhenUsed/>
    <w:pPr>
      <w:ind w:left="850" w:right="0" w:firstLine="0"/>
      <w:spacing w:after="57"/>
    </w:pPr>
  </w:style>
  <w:style w:type="paragraph" w:styleId="835">
    <w:name w:val="toc 5"/>
    <w:basedOn w:val="842"/>
    <w:next w:val="842"/>
    <w:uiPriority w:val="39"/>
    <w:unhideWhenUsed/>
    <w:pPr>
      <w:ind w:left="1134" w:right="0" w:firstLine="0"/>
      <w:spacing w:after="57"/>
    </w:pPr>
  </w:style>
  <w:style w:type="paragraph" w:styleId="836">
    <w:name w:val="toc 6"/>
    <w:basedOn w:val="842"/>
    <w:next w:val="842"/>
    <w:uiPriority w:val="39"/>
    <w:unhideWhenUsed/>
    <w:pPr>
      <w:ind w:left="1417" w:right="0" w:firstLine="0"/>
      <w:spacing w:after="57"/>
    </w:pPr>
  </w:style>
  <w:style w:type="paragraph" w:styleId="837">
    <w:name w:val="toc 7"/>
    <w:basedOn w:val="842"/>
    <w:next w:val="842"/>
    <w:uiPriority w:val="39"/>
    <w:unhideWhenUsed/>
    <w:pPr>
      <w:ind w:left="1701" w:right="0" w:firstLine="0"/>
      <w:spacing w:after="57"/>
    </w:pPr>
  </w:style>
  <w:style w:type="paragraph" w:styleId="838">
    <w:name w:val="toc 8"/>
    <w:basedOn w:val="842"/>
    <w:next w:val="842"/>
    <w:uiPriority w:val="39"/>
    <w:unhideWhenUsed/>
    <w:pPr>
      <w:ind w:left="1984" w:right="0" w:firstLine="0"/>
      <w:spacing w:after="57"/>
    </w:pPr>
  </w:style>
  <w:style w:type="paragraph" w:styleId="839">
    <w:name w:val="toc 9"/>
    <w:basedOn w:val="842"/>
    <w:next w:val="842"/>
    <w:uiPriority w:val="39"/>
    <w:unhideWhenUsed/>
    <w:pPr>
      <w:ind w:left="2268" w:right="0" w:firstLine="0"/>
      <w:spacing w:after="57"/>
    </w:pPr>
  </w:style>
  <w:style w:type="paragraph" w:styleId="840">
    <w:name w:val="TOC Heading"/>
    <w:uiPriority w:val="39"/>
    <w:unhideWhenUsed/>
  </w:style>
  <w:style w:type="paragraph" w:styleId="841">
    <w:name w:val="table of figures"/>
    <w:basedOn w:val="842"/>
    <w:next w:val="842"/>
    <w:uiPriority w:val="99"/>
    <w:unhideWhenUsed/>
    <w:pPr>
      <w:spacing w:after="0" w:afterAutospacing="0"/>
    </w:pPr>
  </w:style>
  <w:style w:type="paragraph" w:styleId="842" w:default="1">
    <w:name w:val="Normal"/>
    <w:qFormat/>
  </w:style>
  <w:style w:type="table" w:styleId="84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44" w:default="1">
    <w:name w:val="No List"/>
    <w:uiPriority w:val="99"/>
    <w:semiHidden/>
    <w:unhideWhenUsed/>
  </w:style>
  <w:style w:type="paragraph" w:styleId="845">
    <w:name w:val="No Spacing"/>
    <w:basedOn w:val="842"/>
    <w:uiPriority w:val="1"/>
    <w:qFormat/>
    <w:pPr>
      <w:spacing w:after="0" w:line="240" w:lineRule="auto"/>
    </w:pPr>
  </w:style>
  <w:style w:type="paragraph" w:styleId="846">
    <w:name w:val="List Paragraph"/>
    <w:basedOn w:val="842"/>
    <w:uiPriority w:val="34"/>
    <w:qFormat/>
    <w:pPr>
      <w:contextualSpacing/>
      <w:ind w:left="720"/>
    </w:pPr>
  </w:style>
  <w:style w:type="character" w:styleId="847" w:default="1">
    <w:name w:val="Default Paragraph Font"/>
    <w:uiPriority w:val="1"/>
    <w:semiHidden/>
    <w:unhideWhenUsed/>
  </w:style>
  <w:style w:type="paragraph" w:styleId="848" w:customStyle="1">
    <w:name w:val="Обычный 2"/>
    <w:qFormat/>
    <w:p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36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2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character" w:styleId="849" w:customStyle="1">
    <w:name w:val="Обычный 2_character"/>
    <w:qFormat/>
    <w:rPr>
      <w:sz w:val="28"/>
      <w:szCs w:val="22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5</cp:revision>
  <dcterms:modified xsi:type="dcterms:W3CDTF">2023-05-08T18:09:45Z</dcterms:modified>
</cp:coreProperties>
</file>