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УДК 004.04</w:t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  <w:b/>
          <w:bCs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С.В. Астахов</w:t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 xml:space="preserve">fzastahov@gmail.com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Н.В. Лапшин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Т.А. Ким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  <w:t xml:space="preserve">1234@mail.ru</w:t>
      </w:r>
      <w:r>
        <w:rPr>
          <w:rFonts w:ascii="Times New Roman Cyr" w:hAnsi="Times New Roman Cyr" w:cs="Times New Roman Cyr"/>
          <w:b w:val="0"/>
          <w:bCs w:val="0"/>
          <w:sz w:val="24"/>
          <w:szCs w:val="24"/>
          <w:highlight w:val="yellow"/>
        </w:rPr>
      </w:r>
      <w:r>
        <w:rPr>
          <w:rFonts w:ascii="Times New Roman Cyr" w:hAnsi="Times New Roman Cyr" w:cs="Times New Roman Cyr"/>
          <w:highlight w:val="yellow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  <w:t xml:space="preserve">МГТУ им. Н.Э. Баумана, Москва, Российская Федерация </w:t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</w:rPr>
      </w:r>
    </w:p>
    <w:tbl>
      <w:tblPr>
        <w:tblStyle w:val="668"/>
        <w:tblW w:w="0" w:type="auto"/>
        <w:tblCellMar>
          <w:left w:w="0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Аннотация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  <w:t xml:space="preserve">Ключевые слова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1_4880"/>
              <w:ind w:firstLine="0"/>
              <w:rPr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Тестирование знаний, язык описания аппаратуры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, HDL, Verilog, система дистанционного обучения, образовательный портал.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/>
          </w:p>
          <w:p>
            <w:pPr>
              <w:spacing w:after="0" w:afterAutospacing="0" w:line="36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highlight w:val="none"/>
              </w:rPr>
            </w:r>
          </w:p>
        </w:tc>
      </w:tr>
    </w:tbl>
    <w:p>
      <w:pPr>
        <w:ind w:firstLine="0"/>
        <w:spacing w:after="0" w:afterAutospacing="0" w:line="360" w:lineRule="auto"/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pP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  <w:r>
        <w:rPr>
          <w:rFonts w:ascii="Times New Roman Cyr" w:hAnsi="Times New Roman Cyr" w:cs="Times New Roman Cyr"/>
          <w:b/>
          <w:bCs/>
          <w:sz w:val="24"/>
          <w:szCs w:val="24"/>
          <w:highlight w:val="none"/>
        </w:rPr>
      </w:r>
    </w:p>
    <w:p>
      <w:pPr>
        <w:ind w:firstLine="0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1_4880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2023-05-05T13:28:24Z</dcterms:modified>
</cp:coreProperties>
</file>