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рубежному контролю № 2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Нечеткая логика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</w:r>
      <w:r>
        <w:rPr>
          <w:b w:val="0"/>
          <w:bCs w:val="0"/>
          <w:u w:val="singl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10.12.2022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Задание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Выполнить нечеткий логический вывод в предметной области "Движение по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автотрассе" при следующих исходных данных.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1). Правила вывода.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по аналогии добавить самостоятельно. В основании импликации наличие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хотя бы одной конъюнкции и хотя бы одной дизъюнкции обязательно. Допускается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отрицание.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 Необязательное. Допускается для обеспечения полноты.]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2). Нечеткие лингвистические переменные.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"Скорость движения"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T(X) = {невысокая, средняя, завышенная}, 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скорость в км/ч, x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[40, 150].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"Стиль езды"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 T(Y) = {спокойный, неуверенный, спортивный,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агрессивный},  y – число перестроений из ряда в ряд в минyту,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[1, 31].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"Погодные условия по температуре воздуха"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T(S) = {морозно,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гололедицей, тепло}, s– температура воздуха в °C,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s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[-11, 30].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выходная: "Расход топлива"; = {низкий, приемлемо большой,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значительный}, – объем в литрах на 100 км,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[5, 20].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Значения входных и выходной лингвистических переменных заданы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графически (см. ниже).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3). Записать правила вывода в формализованном виде.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708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4). Обеспечить и обосновать полноту системы правил вывода.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5). Реализовать этапы нечеткого логического вывода для заданных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исходных данных. Дать оценку расхода топлива для конкретных значений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(целых чисел), используя максиминную логику. Оценить степень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истинности решения по двум любым исчислениям нечеткой импликации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(формулы см. ниже). Итоговый результат оформить в виде таблицы.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Исходные данные определяются в 10-тичной системе счисления по своей дате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рождения следующим образом.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Скорость : [два младших разряда от произведения ((день)+(месяц))*(год)] + 40.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Число перестроений : (день).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Температура воздуха : (день)-(месяц)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Решение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4"/>
    </w:rPr>
  </w:style>
  <w:style w:type="paragraph" w:styleId="1304" w:customStyle="1">
    <w:name w:val="обычный 2"/>
    <w:basedOn w:val="1298"/>
    <w:link w:val="130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2022-12-09T18:36:31Z</dcterms:modified>
</cp:coreProperties>
</file>