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рубежному контролю № 2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bCs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  <w:t xml:space="preserve">Нечеткая логика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</w:r>
      <w:r>
        <w:rPr>
          <w:b w:val="0"/>
          <w:bCs w:val="0"/>
          <w:u w:val="single"/>
        </w:rPr>
      </w:r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column">
                  <wp:posOffset>3951683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1312;o:allowoverlap:true;o:allowincell:true;mso-position-horizontal-relative:text;margin-left:311.2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10.12.2022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Задание</w:t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Выполнить нечеткий логический вывод в предметной области "Движение по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автотрассе" при следующих исходных данных.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1). Правила вывода.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по аналогии добавить самостоятельно. В основании импликации наличие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хотя бы одной конъюнкции и хотя бы одной дизъюнкции обязательно. Допускается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отрицание.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Пр.5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 Необязательное. Допускается для обеспечения полноты.]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2). Нечеткие лингвистические переменные.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 "Скорость движения"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T(X) = {невысокая, средняя, завышенная}, 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скорость в км/ч, x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[40, 150].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"Стиль езды"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 T(Y) = {спокойный, неуверенный, спортивный,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агрессивный},  y – число перестроений из ряда в ряд в минyту,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[1, 31].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"Погодные условия по температуре воздуха"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T(S) = {морозно,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гололедицей, тепло}, s– температура воздуха в °C,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s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[-11, 30].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выходная: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"Расход топлива"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= {низкий, приемлемо большой,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значительный}, – объем в литрах на 100 км,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[5, 20].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Значения входных и выходной лингвистических переменных заданы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графически (см. ниже).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3). Записать правила вывода в формализованном виде.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708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4). Обеспечить и обосновать полноту системы правил вывода.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5). Реализовать этапы нечеткого логического вывода для заданных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исходных данных. Дать оценку расхода топлива для конкретных значений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(целых чисел), используя максиминную логику. Оценить степень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истинности решения по двум любым исчислениям нечеткой импликации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(формулы см. ниже). Итоговый результат оформить в виде таблицы.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Исходные данные определяются в 10-тичной системе счисления по своей дате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рождения следующим образом.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Скорость : [два младших разряда от произведения ((день)+(месяц))*(год)] + 40.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Число перестроений : (день).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Температура воздуха : (день)-(месяц)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Графики значения лингвистических переменных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4709" cy="59548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8435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74708" cy="5954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9.0pt;height:46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hd w:val="nil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86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8781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848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45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Решение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  <w:t xml:space="preserve">Значения переменных: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Дата рождения = 16.07.2001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x =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[два младших разряда от произведения ((16)+(7))*(2001)] + 40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= 63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y = 16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z = 16-7 = 9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 w:firstLine="708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Правила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средняя или завышенная) и (стиль езды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спортивный) и (погода теплая или морозная)], то (расход топлива приемлемо большой).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завышенная) и (стиль езды неуверенный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спортивный) и (погода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средняя или завышенная) и (стиль езды 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и (погода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морозная или теплая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Формализация правил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«невысокая» v X= «средняя») ^ (Y = «спокойный» v Y= «неуверенный») ^ (S = «тепло»)]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«низкий»)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приемлемо большой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неуверенный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^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Проверка полноты правил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  <w:t xml:space="preserve">Для входных переменных: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 =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«невысокая»: Пр.1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 = «средняя»: Пр.1, 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Пр.4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 = «завышенная»: Пр.2, Пр.3, Пр.4</w:t>
      </w:r>
      <w:r/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покойный»: Пр.1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«неуве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ренный»: Пр.1, Пр.3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«спортивный»: Пр.2, Пр.3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«агрессивный»</w:t>
      </w:r>
      <w:r>
        <w:rPr>
          <w:sz w:val="28"/>
          <w:szCs w:val="28"/>
        </w:rPr>
        <w:t xml:space="preserve">: Пр.4</w:t>
      </w:r>
      <w:r>
        <w:rPr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= «морозно»: Пр.2, 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гололедицей»: 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= «тепло»: Пр.1, Пр.3, Пр.4</w:t>
      </w:r>
      <w:r>
        <w:rPr>
          <w:i w:val="0"/>
          <w:iCs w:val="0"/>
        </w:rPr>
      </w:r>
      <w:r>
        <w:rPr>
          <w:i w:val="0"/>
          <w:iCs w:val="0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Для выходных переменных:</w:t>
      </w:r>
      <w:r>
        <w:rPr>
          <w:b/>
          <w:bCs/>
          <w:i w:val="0"/>
          <w:iCs w:val="0"/>
          <w:highlight w:val="none"/>
        </w:rPr>
      </w:r>
      <w:r>
        <w:rPr>
          <w:b/>
          <w:bCs/>
          <w:i w:val="0"/>
          <w:iCs w:val="0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Z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= н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изкий: Пр.1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Z = приемлемо большой: Пр.2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Z =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значительный: Пр.3, Пр.4</w:t>
      </w:r>
      <w:r>
        <w:rPr>
          <w:i w:val="0"/>
          <w:iCs w:val="0"/>
        </w:rPr>
      </w:r>
      <w:r>
        <w:rPr>
          <w:i w:val="0"/>
          <w:iCs w:val="0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b/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  <w:highlight w:val="none"/>
        </w:rPr>
        <w:tab/>
      </w:r>
      <w:r>
        <w:rPr>
          <w:b/>
          <w:bCs/>
          <w:i w:val="0"/>
          <w:iCs w:val="0"/>
          <w:sz w:val="28"/>
          <w:szCs w:val="28"/>
          <w:highlight w:val="none"/>
        </w:rPr>
        <w:t xml:space="preserve">Фаззификация</w:t>
      </w:r>
      <w:r>
        <w:rPr>
          <w:i w:val="0"/>
          <w:i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  <w:vertAlign w:val="sub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Х =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«невыс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окая»: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white"/>
            <w:vertAlign w:val="subscript"/>
          </w:rPr>
          <m:rPr>
            <m:sty m:val="p"/>
          </m:rPr>
          <m:t>Ã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1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=1-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x-50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70-50</m:t>
                    </m:r>
                  </m:e>
                </m:d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 1 - 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63-50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70-50</m:t>
                    </m:r>
                  </m:e>
                </m:d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1 - 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13</m:t>
                </m:r>
              </m:num>
              <m:den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20</m:t>
                </m:r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 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7</m:t>
            </m:r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20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0.35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X = «средняя»: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white"/>
            <w:vertAlign w:val="subscript"/>
          </w:rPr>
          <m:rPr>
            <m:sty m:val="p"/>
          </m:rPr>
          <m:t>Ã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2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x-60</m:t>
                </m:r>
              </m:e>
            </m:d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 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80-60</m:t>
                </m:r>
              </m:e>
            </m:d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3</m:t>
            </m:r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20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0.15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X = «завышенная»: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white"/>
            <w:vertAlign w:val="superscript"/>
          </w:rPr>
          <m:rPr>
            <m:sty m:val="p"/>
          </m:rPr>
          <m:t>Ã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3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 w:val="0"/>
          <w:i w:val="0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покойный»: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1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«неуве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ренный»: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2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«спортивный»: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3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«агрессивный»</w:t>
      </w:r>
      <w:r>
        <w:rPr>
          <w:i w:val="0"/>
          <w:iCs w:val="0"/>
          <w:sz w:val="28"/>
          <w:szCs w:val="28"/>
        </w:rPr>
        <w:t xml:space="preserve">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4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1 </m:t>
        </m:r>
      </m:oMath>
      <w:r>
        <w:rPr>
          <w:i w:val="0"/>
          <w:iCs w:val="0"/>
          <w:sz w:val="28"/>
          <w:szCs w:val="28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= «морозно»: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C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1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0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= «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около нуля с гололедицей»: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C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2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0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= «тепло»: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C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3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=1</m:t>
        </m:r>
      </m:oMath>
      <w:r>
        <w:rPr>
          <w:i w:val="0"/>
          <w:iCs w:val="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pStyle w:val="1304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ab/>
        <w:t xml:space="preserve">Введем переменную Q, обозначающую основание импликации: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Пр.1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func>
              <m:funcPr>
                <m:ctrlPr>
                  <w:rPr>
                    <w:rFonts w:hint="default" w:ascii="Cambria Math" w:hAnsi="Cambria Math" w:eastAsia="Cambria Math" w:cs="Cambria Math"/>
                  </w:rPr>
                </m:ctrlPr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0.35, 0.15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, </m:t>
                </m:r>
              </m:e>
            </m:func>
            <m:func>
              <m:funcPr>
                <m:ctrlPr>
                  <w:rPr>
                    <w:rFonts w:hint="default" w:ascii="Cambria Math" w:hAnsi="Cambria Math" w:eastAsia="Cambria Math" w:cs="Cambria Math"/>
                  </w:rPr>
                </m:ctrlPr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0, 0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, 1</m:t>
                </m:r>
              </m:e>
            </m:func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)= 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</m:t>
            </m:r>
          </m:fName>
          <m:e>
            <m:r>
              <m:rPr>
                <m:sty m:val="p"/>
              </m:rPr>
              <m:t>(0.35, 0, 1)</m:t>
            </m:r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= 0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Пр.2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func>
              <m:funcPr>
                <m:ctrlPr>
                  <w:rPr>
                    <w:rFonts w:hint="default" w:ascii="Cambria Math" w:hAnsi="Cambria Math" w:eastAsia="Cambria Math" w:cs="Cambria Math"/>
                  </w:rPr>
                </m:ctrlPr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0.15, 0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0, </m:t>
            </m:r>
            <m:func>
              <m:funcPr>
                <m:ctrlPr>
                  <w:rPr>
                    <w:rFonts w:hint="default" w:ascii="Cambria Math" w:hAnsi="Cambria Math" w:eastAsia="Cambria Math" w:cs="Cambria Math"/>
                  </w:rPr>
                </m:ctrlPr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1, 0</m:t>
                    </m:r>
                  </m:e>
                </m:d>
              </m:e>
            </m:func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)=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0.15, 0, 1</m:t>
            </m:r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)=0 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Пр.3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0, </m:t>
            </m:r>
            <m:func>
              <m:funcPr>
                <m:ctrlPr>
                  <w:rPr>
                    <w:rFonts w:hint="default" w:ascii="Cambria Math" w:hAnsi="Cambria Math" w:eastAsia="Cambria Math" w:cs="Cambria Math"/>
                  </w:rPr>
                </m:ctrlPr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0, 0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0)</m:t>
            </m:r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=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0, 0, 0</m:t>
            </m:r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)=0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Пр.4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</m:t>
            </m:r>
          </m:fName>
          <m:e>
            <m:func>
              <m:funcPr>
                <m:ctrlPr>
                  <w:rPr>
                    <w:rFonts w:hint="default" w:ascii="Cambria Math" w:hAnsi="Cambria Math" w:eastAsia="Cambria Math" w:cs="Cambria Math"/>
                  </w:rPr>
                </m:ctrlPr>
              </m:funcPr>
              <m:fName>
                <m:r>
                  <m:rPr>
                    <m:sty m:val="p"/>
                  </m:rPr>
                  <m:t>(max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0.15, 0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1, </m:t>
            </m:r>
            <m:func>
              <m:funcPr>
                <m:ctrlPr>
                  <w:rPr>
                    <w:rFonts w:hint="default" w:ascii="Cambria Math" w:hAnsi="Cambria Math" w:eastAsia="Cambria Math" w:cs="Cambria Math"/>
                  </w:rPr>
                </m:ctrlPr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1, 0</m:t>
                    </m:r>
                  </m:e>
                </m:d>
              </m:e>
            </m:func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)=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0.15, 1, 1</m:t>
            </m:r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)=0.15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firstLine="708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Очевидно, что оценку расхода топлива следует проводить по правилу 4.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ab/>
        <w:t xml:space="preserve">Обозначим переменной P заключение импликации и оценим степень истинности импликации, проведем дефаззификацию: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ab/>
        <w:t xml:space="preserve">По Гогену: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jc w:val="left"/>
        <w:rPr>
          <w:rFonts w:ascii="Cambria Math" w:hAnsi="Cambria Math" w:eastAsia="Cambria Math" w:cs="Cambria Math"/>
          <w:bCs w:val="0"/>
          <w:i w:val="0"/>
          <w:sz w:val="28"/>
          <w:szCs w:val="28"/>
        </w:rPr>
      </w:pPr>
      <w:r>
        <w:rPr>
          <w:i w:val="0"/>
          <w:iCs w:val="0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vertAlign w:val="superscript"/>
            </w:rPr>
            <m:rPr>
              <m:sty m:val="p"/>
            </m:rPr>
            <m:t>μ</m:t>
          </m:r>
          <m:r>
            <w:rPr>
              <w:rFonts w:hint="default" w:ascii="Cambria Math" w:hAnsi="Cambria Math" w:eastAsia="Cambria Math" w:cs="Cambria Math"/>
              <w:color w:val="202124"/>
              <w:sz w:val="28"/>
              <w:szCs w:val="28"/>
              <w:highlight w:val="none"/>
              <w:vertAlign w:val="subscript"/>
            </w:rPr>
            <m:rPr>
              <m:sty m:val="p"/>
            </m:rPr>
            <m:t>Q </m:t>
          </m:r>
          <m:r>
            <m:rPr>
              <m:sty m:val="p"/>
            </m:rPr>
            <m:t>→ 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>
              <m:sty m:val="p"/>
            </m:rPr>
            <m:t>P=</m:t>
          </m:r>
          <m:func>
            <m:funcPr>
              <m:ctrlPr>
                <w:rPr>
                  <w:rFonts w:hint="default" w:ascii="Cambria Math" w:hAnsi="Cambria Math" w:eastAsia="Cambria Math" w:cs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vertAlign w:val="superscript"/>
                        </w:rPr>
                        <m:rPr>
                          <m:sty m:val="p"/>
                        </m:rPr>
                        <m:t>μP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vertAlign w:val="superscript"/>
                        </w:rPr>
                        <m:rPr>
                          <m:sty m:val="p"/>
                        </m:rPr>
                        <m:t>μQ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, 1</m:t>
                  </m:r>
                </m:e>
              </m:d>
            </m:e>
          </m:func>
        </m:oMath>
      </m:oMathPara>
      <w:r>
        <w:rPr>
          <w:i w:val="0"/>
          <w:iCs w:val="0"/>
        </w:rPr>
      </w:r>
      <w:r>
        <w:rPr>
          <w:rFonts w:ascii="Cambria Math" w:hAnsi="Cambria Math" w:eastAsia="Cambria Math" w:cs="Cambria Math"/>
          <w:i w:val="0"/>
          <w:iCs w:val="0"/>
          <w:sz w:val="28"/>
          <w:szCs w:val="28"/>
        </w:rPr>
      </w:r>
    </w:p>
    <w:p>
      <w:pPr>
        <w:pStyle w:val="1304"/>
        <w:rPr>
          <w:rFonts w:ascii="Cambria Math" w:hAnsi="Cambria Math" w:eastAsia="Cambria Math" w:cs="Cambria Math"/>
          <w:bCs w:val="0"/>
          <w:i w:val="0"/>
          <w:sz w:val="28"/>
          <w:szCs w:val="28"/>
        </w:rPr>
      </w:pPr>
      <w:r>
        <w:rPr>
          <w:i w:val="0"/>
          <w:iCs w:val="0"/>
        </w:rPr>
        <w:t xml:space="preserve">Примем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Q </m:t>
        </m:r>
        <m:r>
          <m:rPr>
            <m:sty m:val="p"/>
          </m:rPr>
          <m:t>→ 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P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1,</m:t>
        </m:r>
      </m:oMath>
      <w:r>
        <w:rPr>
          <w:i w:val="0"/>
          <w:iCs w:val="0"/>
        </w:rPr>
        <w:t xml:space="preserve"> откуда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μP&gt; 0.15</m:t>
        </m:r>
      </m:oMath>
      <w:r>
        <w:rPr>
          <w:rFonts w:ascii="Cambria Math" w:hAnsi="Cambria Math" w:eastAsia="Cambria Math" w:cs="Cambria Math"/>
          <w:i w:val="0"/>
          <w:iCs w:val="0"/>
          <w:sz w:val="28"/>
          <w:szCs w:val="28"/>
        </w:rPr>
      </w:r>
      <w:r>
        <w:rPr>
          <w:i w:val="0"/>
          <w:iCs w:val="0"/>
        </w:rPr>
      </w:r>
    </w:p>
    <w:p>
      <w:pPr>
        <w:pStyle w:val="1304"/>
        <w:ind w:firstLine="0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Где P = (Z = «значительный»)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</w:rPr>
      </w:r>
      <m:oMathPara>
        <m:oMathParaPr>
          <m:jc m:val="left"/>
        </m:oMathParaPr>
        <m:oMath>
          <m:f>
            <m:fPr>
              <m:ctrlPr>
                <w:rPr>
                  <w:rFonts w:hint="default" w:ascii="Cambria Math" w:hAnsi="Cambria Math" w:eastAsia="Cambria Math" w:cs="Cambria Math"/>
                </w:rPr>
              </m:ctrlPr>
            </m:fPr>
            <m:num>
              <m:r>
                <m:rPr>
                  <m:sty m:val="p"/>
                </m:rPr>
                <m:t>z-12</m:t>
              </m:r>
            </m:num>
            <m:den>
              <m:r>
                <m:rPr>
                  <m:sty m:val="p"/>
                </m:rPr>
                <m:t>16-12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  <w:vertAlign w:val="superscript"/>
            </w:rPr>
            <m:rPr>
              <m:sty m:val="p"/>
            </m:rPr>
            <m:t> </m:t>
          </m:r>
          <m: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vertAlign w:val="superscript"/>
            </w:rPr>
            <m:rPr>
              <m:sty m:val="p"/>
            </m:rPr>
            <m:t> 0.15</m:t>
          </m:r>
        </m:oMath>
      </m:oMathPara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</w:rPr>
      </w:r>
    </w:p>
    <w:p>
      <w:pPr>
        <w:pStyle w:val="1304"/>
        <w:ind w:left="0" w:firstLine="0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z </m:t>
          </m:r>
          <m: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 0.15*4 + 12</m:t>
          </m:r>
        </m:oMath>
      </m:oMathPara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Cs w:val="0"/>
          <w:i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z </m:t>
          </m:r>
          <m: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 12.6</m:t>
          </m:r>
        </m:oMath>
      </m:oMathPara>
      <w:r>
        <w:rPr>
          <w:i w:val="0"/>
          <w:iCs w:val="0"/>
        </w:rPr>
      </w:r>
      <w:r>
        <w:rPr>
          <w:i w:val="0"/>
          <w:iCs w:val="0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Cs w:val="0"/>
          <w:i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И </w:t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color w:val="000000"/>
            <w:sz w:val="28"/>
            <w:szCs w:val="28"/>
            <w:highlight w:val="none"/>
          </w:rPr>
          <m:rPr>
            <m:sty m:val="p"/>
          </m:rPr>
          <m:t>z &lt;</m:t>
        </m:r>
        <m:r>
          <w:rPr>
            <w:rFonts w:hint="default" w:ascii="Cambria Math" w:hAnsi="Cambria Math" w:eastAsia="Cambria Math" w:cs="Cambria Math"/>
            <w:color w:val="000000"/>
            <w:sz w:val="28"/>
            <w:szCs w:val="28"/>
            <w:highlight w:val="none"/>
          </w:rPr>
          <m:rPr>
            <m:sty m:val="p"/>
          </m:rPr>
          <m:t> 20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, т.к. ограничен U</w:t>
      </w:r>
      <w:r>
        <w:rPr>
          <w:i w:val="0"/>
          <w:iCs w:val="0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По Заде: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Q </m:t>
        </m:r>
        <m:r>
          <m:rPr>
            <m:sty m:val="p"/>
          </m:rPr>
          <m:t>→ 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P=</m:t>
        </m:r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max</m:t>
            </m:r>
          </m:fName>
          <m:e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</w:rPr>
                </m:ctrlPr>
              </m:dPr>
              <m:e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min⁡</m:t>
                    </m:r>
                    <m:r>
                      <m:rPr>
                        <m:sty m:val="p"/>
                      </m:rPr>
                      <m:t>(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vertAlign w:val="superscript"/>
                      </w:rPr>
                      <m:rPr>
                        <m:sty m:val="p"/>
                      </m:rPr>
                      <m:t>μP</m:t>
                    </m:r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,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vertAlign w:val="superscript"/>
                      </w:rPr>
                      <m:rPr>
                        <m:sty m:val="p"/>
                      </m:rPr>
                      <m:t>μQ)</m:t>
                    </m:r>
                  </m:e>
                </m:func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, 1-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vertAlign w:val="superscript"/>
                  </w:rPr>
                  <m:rPr>
                    <m:sty m:val="p"/>
                  </m:rPr>
                  <m:t>μQ</m:t>
                </m:r>
              </m:e>
            </m:d>
          </m:e>
        </m:func>
        <m:r>
          <w:rPr>
            <w:rFonts w:ascii="Cambria Math" w:hAnsi="Cambria Math" w:eastAsia="Cambria Math" w:cs="Cambria Math"/>
          </w:rPr>
          <m:rPr>
            <m:sty m:val="p"/>
          </m:rPr>
          <m:t> = </m:t>
        </m:r>
      </m:oMath>
      <w:r>
        <w:rPr>
          <w:i w:val="0"/>
          <w:iCs w:val="0"/>
        </w:rPr>
      </w:r>
      <m:oMath>
        <m:func>
          <m:funcPr>
            <m:ctrlPr>
              <w:rPr>
                <w:rFonts w:hint="default" w:ascii="Cambria Math" w:hAnsi="Cambria Math" w:eastAsia="Cambria Math" w:cs="Cambria Math"/>
              </w:rPr>
            </m:ctrlPr>
          </m:funcPr>
          <m:fName>
            <m:r>
              <m:rPr>
                <m:sty m:val="p"/>
              </m:rPr>
              <m:t>max</m:t>
            </m:r>
          </m:fName>
          <m:e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</w:rPr>
                </m:ctrlPr>
              </m:dPr>
              <m:e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min⁡</m:t>
                    </m:r>
                    <m:r>
                      <m:rPr>
                        <m:sty m:val="p"/>
                      </m:rPr>
                      <m:t>(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vertAlign w:val="superscript"/>
                      </w:rPr>
                      <m:rPr>
                        <m:sty m:val="p"/>
                      </m:rPr>
                      <m:t>μP</m:t>
                    </m:r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,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vertAlign w:val="superscript"/>
                      </w:rPr>
                      <m:rPr>
                        <m:sty m:val="p"/>
                      </m:rPr>
                      <m:t>0.15)</m:t>
                    </m:r>
                  </m:e>
                </m:func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, 1- 0.15</m:t>
                </m:r>
              </m:e>
            </m:d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 = 0.85</m:t>
            </m:r>
          </m:e>
        </m:func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при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μP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 &gt; 0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i w:val="0"/>
          <w:iCs w:val="0"/>
        </w:rPr>
      </w:r>
      <m:oMathPara>
        <m:oMathParaPr>
          <m:jc m:val="left"/>
        </m:oMathParaPr>
        <m:oMath>
          <m:r>
            <m:rPr>
              <m:sty m:val="p"/>
            </m:rPr>
            <m:t>20≥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z </m:t>
          </m:r>
          <m: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 12</m:t>
          </m:r>
        </m:oMath>
      </m:oMathPara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Ответ: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tbl>
      <w:tblPr>
        <w:tblStyle w:val="1154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z, л/100км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Правило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Ст. истинности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Оценка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[12.6; 20]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Пр. 4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Гоген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[12; 20]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Пр. 4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0.85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Заде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pStyle w:val="1304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8"/>
      <w:szCs w:val="28"/>
    </w:rPr>
  </w:style>
  <w:style w:type="paragraph" w:styleId="1304" w:customStyle="1">
    <w:name w:val="обычный 2"/>
    <w:basedOn w:val="1298"/>
    <w:link w:val="1303"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2022-12-09T23:27:05Z</dcterms:modified>
</cp:coreProperties>
</file>