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рубежному контролю № 2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Нечеткая логика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</w:r>
      <w:r>
        <w:rPr>
          <w:b w:val="0"/>
          <w:bCs w:val="0"/>
          <w:u w:val="singl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10.12.2022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Задание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Выполнить нечеткий логический вывод в предметной области "Движение по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автотрассе" при следующих исходных данных.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1). Правила вывода.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по аналогии добавить самостоятельно. В основании импликации наличие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хотя бы одной конъюнкции и хотя бы одной дизъюнкции обязательно. Допускается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отрицание.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 Необязательное. Допускается для обеспечения полноты.]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2). Нечеткие лингвистические переменные.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"Скорость движения"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T(X) = {невысокая, средняя, завышенная}, 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скорость в км/ч, x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[40, 150].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"Стиль езды"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 T(Y) = {спокойный, неуверенный, спортивный,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агрессивный},  y – число перестроений из ряда в ряд в минyту,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[1, 31].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"Погодные условия по температуре воздуха"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T(S) = {морозно,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гололедицей, тепло}, s– температура воздуха в °C,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s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[-11, 30].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выходная: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"Расход топлива"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= {низкий, приемлемо большой,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значительный}, – объем в литрах на 100 км,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[5, 20].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Значения входных и выходной лингвистических переменных заданы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графически (см. ниже).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3). Записать правила вывода в формализованном виде.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708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4). Обеспечить и обосновать полноту системы правил вывода.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5). Реализовать этапы нечеткого логического вывода для заданных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исходных данных. Дать оценку расхода топлива для конкретных значений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(целых чисел), используя максиминную логику. Оценить степень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истинности решения по двум любым исчислениям нечеткой импликации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(формулы см. ниже). Итоговый результат оформить в виде таблицы.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Исходные данные определяются в 10-тичной системе счисления по своей дате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рождения следующим образом.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Скорость : [два младших разряда от произведения ((день)+(месяц))*(год)] + 40.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Число перестроений : (день).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Температура воздуха : (день)-(месяц)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Графики значения лингвистических переменных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709" cy="59548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435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74708" cy="5954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0pt;height:46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hd w:val="nil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86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878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848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45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Решение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Значения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Дата рождения = 16.07.2001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x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[два младших разряда от произведения ((16)+(7))*(2001)] + 40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= 63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y = 16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z = 16-7 = 9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 w:firstLine="708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Правила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средняя или завышенная) и (стиль езды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спортивный) и (погода теплая или морозная)], то (расход топлива приемлемо большой).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завышенная) и (стиль езды неуверенный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спортивный) и (погода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средняя или завышенная) и (стиль езды 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и (погода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морозная или теплая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Формализация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«невысокая» v X= «средняя») ^ (Y = «спокойный» v Y= «неуверенный») ^ (S = «тепло»)]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«низкий»)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приемлемо большой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неуверенный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Проверка полноты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Для входных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«невысокая»: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«средняя»: Пр.1, 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Пр.4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«завышенная»: Пр.2, Пр.3, Пр.4</w:t>
      </w:r>
      <w:r/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покойный»: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ренный»: Пр.1, Пр.3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«спортивный»: Пр.2, Пр.3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sz w:val="28"/>
          <w:szCs w:val="28"/>
        </w:rPr>
        <w:t xml:space="preserve">: Пр.4</w:t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= «морозно»: Пр.2, 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гололедицей»: 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«тепло»: Пр.1, Пр.3, Пр.4</w:t>
      </w:r>
      <w:r>
        <w:rPr>
          <w:i w:val="0"/>
          <w:iCs w:val="0"/>
        </w:rPr>
      </w:r>
      <w:r>
        <w:rPr>
          <w:i w:val="0"/>
          <w:iCs w:val="0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Для выходных переменных:</w:t>
      </w:r>
      <w:r>
        <w:rPr>
          <w:b/>
          <w:bCs/>
          <w:i w:val="0"/>
          <w:iCs w:val="0"/>
          <w:highlight w:val="none"/>
        </w:rPr>
      </w:r>
      <w:r>
        <w:rPr>
          <w:b/>
          <w:bCs/>
          <w:i w:val="0"/>
          <w:iCs w:val="0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= н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изкий: Пр.1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= приемлемо большой: Пр.2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Z =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значительный: Пр.3, Пр.4</w:t>
      </w:r>
      <w:r>
        <w:rPr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b/>
          <w:bCs w:val="0"/>
          <w:i w:val="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  <w:highlight w:val="none"/>
        </w:rPr>
        <w:tab/>
      </w:r>
      <w:r>
        <w:rPr>
          <w:b/>
          <w:bCs/>
          <w:i w:val="0"/>
          <w:iCs w:val="0"/>
          <w:sz w:val="28"/>
          <w:szCs w:val="28"/>
          <w:highlight w:val="none"/>
        </w:rPr>
        <w:t xml:space="preserve">Фаззификация</w:t>
      </w:r>
      <w:r>
        <w:rPr>
          <w:i w:val="0"/>
          <w:i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vertAlign w:val="sub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«не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выс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окая»: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highlight w:val="whit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white"/>
                <w:vertAlign w:val="subscript"/>
              </w:rPr>
              <m:rPr>
                <m:sty m:val="p"/>
              </m:rPr>
              <m:t>Ã</m:t>
            </m:r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  <w:vertAlign w:val="subscript"/>
              </w:rPr>
              <m:rPr>
                <m:sty m:val="p"/>
              </m:rPr>
              <m:t>1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=1-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x-50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1 - 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63-50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1 - 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13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20</m:t>
                </m:r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7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0.35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«средняя»: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white"/>
                <w:vertAlign w:val="subscript"/>
              </w:rPr>
              <m:rPr>
                <m:sty m:val="p"/>
              </m:rPr>
              <m:t>Ã</m:t>
            </m:r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  <w:vertAlign w:val="subscript"/>
              </w:rPr>
              <m:rPr>
                <m:sty m:val="p"/>
              </m:rPr>
              <m:t>2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x-60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 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80-60</m:t>
                </m:r>
              </m:e>
            </m:d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0.15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«завышенная»: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white"/>
                <w:vertAlign w:val="subscript"/>
              </w:rPr>
              <m:rPr>
                <m:sty m:val="p"/>
              </m:rPr>
              <m:t>Ã</m:t>
            </m:r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  <w:vertAlign w:val="subscript"/>
              </w:rPr>
              <m:rPr>
                <m:sty m:val="p"/>
              </m:rPr>
              <m:t>3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 w:val="0"/>
          <w:i w:val="0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покойный»: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B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1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ренный»: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B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«спортивный»: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B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sub>
        </m:sSub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m:oMath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i w:val="0"/>
          <w:iCs w:val="0"/>
          <w:sz w:val="28"/>
          <w:szCs w:val="28"/>
        </w:rPr>
        <w:t xml:space="preserve">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B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4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1 </m:t>
        </m:r>
      </m:oMath>
      <w:r>
        <w:rPr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= «морозно»: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vertAlign w:val="baseline"/>
                  </w:rPr>
                  <m:rPr>
                    <m:sty m:val="p"/>
                  </m:rPr>
                  <m:t>C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1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около нуля с гололедицей»: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vertAlign w:val="baseline"/>
                  </w:rPr>
                  <m:rPr>
                    <m:sty m:val="p"/>
                  </m:rPr>
                  <m:t>C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S = «тепло»: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acc>
              <m:accPr>
                <m:chr m:val="̃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vertAlign w:val="baseline"/>
                  </w:rPr>
                  <m:rPr>
                    <m:sty m:val="p"/>
                  </m:rPr>
                  <m:t>C</m:t>
                </m:r>
              </m:e>
            </m:ac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</m:t>
        </m:r>
      </m:oMath>
      <w:r>
        <w:rPr>
          <w:i w:val="0"/>
          <w:iCs w:val="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pStyle w:val="1304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Введем переменную Q, обозначающую основание импликации: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Пр.1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0.35, 0.15</m:t>
                    </m:r>
                  </m:e>
                </m:d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, </m:t>
                </m:r>
              </m:e>
            </m:func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0, 0</m:t>
                    </m:r>
                  </m:e>
                </m:d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, 1</m:t>
                </m:r>
              </m:e>
            </m:func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 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</m:t>
            </m:r>
          </m:fName>
          <m:e>
            <m:r>
              <w:rPr>
                <w:sz w:val="28"/>
                <w:szCs w:val="28"/>
              </w:rPr>
              <m:rPr>
                <m:sty m:val="p"/>
              </m:rPr>
              <m:t>(0.35, 0, 1)</m:t>
            </m:r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0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Пр.2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0.15, 0, 1</m:t>
            </m:r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)=0 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Пр.3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0)</m:t>
            </m:r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0, 0, 0</m:t>
            </m:r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)=0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Пр.4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</m:t>
            </m:r>
          </m:fName>
          <m:e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(max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1, </m:t>
            </m:r>
            <m:func>
              <m:func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uncPr>
              <m:fName>
                <m:r>
                  <w:rPr>
                    <w:sz w:val="28"/>
                    <w:szCs w:val="28"/>
                  </w:rP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min⁡</m:t>
            </m:r>
            <m:r>
              <w:rPr>
                <w:sz w:val="28"/>
                <w:szCs w:val="28"/>
              </w:rP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0.15, 1, 1</m:t>
            </m:r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)=0.15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firstLine="708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Очевидно, что оценку расхода топлива следует проводить по правилу 4.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Обозначим переменной P заключение импликации и оценим степень истинности импликации, проведем дефаззификацию: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ab/>
        <w:t xml:space="preserve">По Гогену: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jc w:val="left"/>
        <w:rPr>
          <w:rFonts w:ascii="Cambria Math" w:hAnsi="Cambria Math" w:eastAsia="Cambria Math" w:cs="Cambria Math"/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</w: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vertAlign w:val="superscript"/>
                </w:rPr>
                <m:rPr>
                  <m:sty m:val="p"/>
                </m:rPr>
                <m:t>μ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p"/>
                </m:rPr>
                <m:t>Q</m:t>
              </m:r>
              <m:r>
                <w:rPr>
                  <w:sz w:val="28"/>
                  <w:szCs w:val="28"/>
                </w:rPr>
                <m:rPr>
                  <m:sty m:val="p"/>
                </m:rPr>
                <m:t>→P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>
              <m:sty m:val="p"/>
            </m:rPr>
            <m:t>=</m:t>
          </m:r>
          <m:func>
            <m:func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funcPr>
            <m:fName>
              <m:r>
                <w:rPr>
                  <w:sz w:val="28"/>
                  <w:szCs w:val="28"/>
                </w:rPr>
                <m:rPr>
                  <m:sty m:val="p"/>
                </m:rPr>
                <m:t>min</m:t>
              </m:r>
            </m:fName>
            <m:e>
              <m:d>
                <m:dPr>
                  <m:begChr m:val="("/>
                  <m:endChr m:val=")"/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vertAlign w:val="superscript"/>
                            </w:rPr>
                            <m:rPr>
                              <m:sty m:val="p"/>
                            </m:rPr>
                            <m:t>μ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>
                              <m:sty m:val="p"/>
                            </m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vertAlign w:val="superscript"/>
                            </w:rPr>
                            <m:rPr>
                              <m:sty m:val="p"/>
                            </m:rPr>
                            <m:t>μ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>
                              <m:sty m:val="p"/>
                            </m:rPr>
                            <m:t>Q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rPr>
                      <m:sty m:val="p"/>
                    </m:rPr>
                    <m:t>, 1</m:t>
                  </m:r>
                </m:e>
              </m:d>
            </m:e>
          </m:func>
        </m:oMath>
      </m:oMathPara>
      <w:r>
        <w:rPr>
          <w:i w:val="0"/>
          <w:iCs w:val="0"/>
          <w:sz w:val="28"/>
          <w:szCs w:val="28"/>
        </w:rPr>
      </w:r>
      <w:r>
        <w:rPr>
          <w:rFonts w:ascii="Cambria Math" w:hAnsi="Cambria Math" w:eastAsia="Cambria Math" w:cs="Cambria Math"/>
          <w:i w:val="0"/>
          <w:iCs w:val="0"/>
          <w:sz w:val="28"/>
          <w:szCs w:val="28"/>
        </w:rPr>
      </w:r>
    </w:p>
    <w:p>
      <w:pPr>
        <w:pStyle w:val="1304"/>
        <w:rPr>
          <w:rFonts w:ascii="Cambria Math" w:hAnsi="Cambria Math" w:eastAsia="Cambria Math" w:cs="Cambria Math"/>
          <w:bCs w:val="0"/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Примем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Q</m:t>
            </m:r>
            <m:r>
              <w:rPr>
                <w:sz w:val="28"/>
                <w:szCs w:val="28"/>
              </w:rPr>
              <m:rPr>
                <m:sty m:val="p"/>
              </m:rPr>
              <m:t>→P</m:t>
            </m:r>
          </m:sub>
        </m:sSub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1,</m:t>
        </m:r>
      </m:oMath>
      <w:r>
        <w:rPr>
          <w:i w:val="0"/>
          <w:iCs w:val="0"/>
          <w:sz w:val="28"/>
          <w:szCs w:val="28"/>
        </w:rPr>
        <w:t xml:space="preserve"> откуда </w:t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P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&gt; 0.15</m:t>
        </m:r>
      </m:oMath>
      <w:r>
        <w:rPr>
          <w:rFonts w:ascii="Cambria Math" w:hAnsi="Cambria Math" w:eastAsia="Cambria Math" w:cs="Cambria Math"/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pStyle w:val="1304"/>
        <w:ind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Где P = (Z = «значительный»)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</w:rPr>
      </w: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 w:eastAsia="Cambria Math" w:cs="Cambria Math"/>
                  <w:sz w:val="28"/>
                </w:rPr>
              </m:ctrlPr>
            </m:fPr>
            <m:num>
              <m:r>
                <w:rPr>
                  <w:sz w:val="28"/>
                  <w:szCs w:val="28"/>
                </w:rPr>
                <m:rPr>
                  <m:sty m:val="p"/>
                </m:rPr>
                <m:t>z-12</m:t>
              </m:r>
            </m:num>
            <m:den>
              <m:r>
                <w:rPr>
                  <w:sz w:val="28"/>
                  <w:szCs w:val="28"/>
                </w:rPr>
                <m:rPr>
                  <m:sty m:val="p"/>
                </m:rPr>
                <m:t>16-12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  <w:vertAlign w:val="superscript"/>
            </w:rPr>
            <m:rPr>
              <m:sty m:val="p"/>
            </m:rPr>
            <m:t> </m:t>
          </m:r>
          <m:r>
            <w:rPr>
              <w:sz w:val="28"/>
              <w:szCs w:val="28"/>
            </w:rP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vertAlign w:val="superscript"/>
            </w:rPr>
            <m:rPr>
              <m:sty m:val="p"/>
            </m:rPr>
            <m:t> 0.15</m:t>
          </m:r>
        </m:oMath>
      </m:oMathPara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w:rPr>
              <w:sz w:val="28"/>
              <w:szCs w:val="28"/>
            </w:rP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0.15*4 + 12</m:t>
          </m:r>
        </m:oMath>
      </m:oMathPara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Cs w:val="0"/>
          <w:i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w:rPr>
              <w:sz w:val="28"/>
              <w:szCs w:val="28"/>
            </w:rP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12.6</m:t>
          </m:r>
        </m:oMath>
      </m:oMathPara>
      <w:r>
        <w:rPr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Cs w:val="0"/>
          <w:i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И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000000"/>
            <w:sz w:val="28"/>
            <w:szCs w:val="28"/>
            <w:highlight w:val="none"/>
          </w:rPr>
          <m:rPr>
            <m:sty m:val="p"/>
          </m:rPr>
          <m:t>z &lt;</m:t>
        </m:r>
        <m:r>
          <w:rPr>
            <w:rFonts w:hint="default" w:ascii="Cambria Math" w:hAnsi="Cambria Math" w:eastAsia="Cambria Math" w:cs="Cambria Math"/>
            <w:color w:val="000000"/>
            <w:sz w:val="28"/>
            <w:szCs w:val="28"/>
            <w:highlight w:val="none"/>
          </w:rPr>
          <m:rPr>
            <m:sty m:val="p"/>
          </m:rPr>
          <m:t> 20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, т.к. ограничен U</w:t>
      </w:r>
      <w:r>
        <w:rPr>
          <w:i w:val="0"/>
          <w:iCs w:val="0"/>
          <w:sz w:val="28"/>
          <w:szCs w:val="28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По Заде: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Q</m:t>
            </m:r>
            <m:r>
              <w:rPr>
                <w:sz w:val="28"/>
                <w:szCs w:val="28"/>
              </w:rPr>
              <m:rPr>
                <m:sty m:val="p"/>
              </m:rPr>
              <m:t>→P</m:t>
            </m:r>
          </m:sub>
        </m:sSub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max</m:t>
            </m:r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funcPr>
                  <m:fName>
                    <m:r>
                      <w:rPr>
                        <w:sz w:val="28"/>
                        <w:szCs w:val="28"/>
                      </w:rPr>
                      <m:rPr>
                        <m:sty m:val="p"/>
                      </m:rPr>
                      <m:t>min⁡</m:t>
                    </m:r>
                    <m:r>
                      <w:rPr>
                        <w:sz w:val="28"/>
                        <w:szCs w:val="28"/>
                      </w:rPr>
                      <m:rPr>
                        <m:sty m:val="p"/>
                      </m:rPr>
                      <m:t>(</m:t>
                    </m:r>
                  </m:fName>
                  <m:e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vertAlign w:val="superscript"/>
                          </w:rP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P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, </m:t>
                    </m:r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vertAlign w:val="superscript"/>
                          </w:rP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Q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)</m:t>
                    </m:r>
                  </m:e>
                </m:func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, 1-</m:t>
                </m:r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μ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Q</m:t>
                    </m:r>
                  </m:sub>
                </m:sSub>
              </m:e>
            </m:d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</m:t>
        </m:r>
      </m:oMath>
      <w:r>
        <w:rPr>
          <w:i w:val="0"/>
          <w:iCs w:val="0"/>
          <w:sz w:val="28"/>
          <w:szCs w:val="28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sz w:val="28"/>
                <w:szCs w:val="28"/>
              </w:rPr>
              <m:rPr>
                <m:sty m:val="p"/>
              </m:rPr>
              <m:t>max</m:t>
            </m:r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funcPr>
                  <m:fName>
                    <m:r>
                      <w:rPr>
                        <w:sz w:val="28"/>
                        <w:szCs w:val="28"/>
                      </w:rPr>
                      <m:rPr>
                        <m:sty m:val="p"/>
                      </m:rPr>
                      <m:t>min⁡</m:t>
                    </m:r>
                    <m:r>
                      <w:rPr>
                        <w:sz w:val="28"/>
                        <w:szCs w:val="28"/>
                      </w:rPr>
                      <m:rPr>
                        <m:sty m:val="p"/>
                      </m:rPr>
                      <m:t>(</m:t>
                    </m:r>
                  </m:fName>
                  <m:e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vertAlign w:val="superscript"/>
                          </w:rPr>
                          <m:rPr>
                            <m:sty m:val="p"/>
                          </m:rPr>
                          <m:t>μ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P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,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vertAlign w:val="superscript"/>
                      </w:rPr>
                      <m:rPr>
                        <m:sty m:val="p"/>
                      </m:rPr>
                      <m:t>0.15)</m:t>
                    </m:r>
                  </m:e>
                </m:func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, 1- 0.15</m:t>
                </m:r>
              </m:e>
            </m:d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 = 0.85</m:t>
            </m:r>
          </m:e>
        </m:func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при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p"/>
          </m:rPr>
          <m:t>∀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perscript"/>
              </w:rPr>
              <m:rPr>
                <m:sty m:val="p"/>
              </m:rPr>
              <m:t>μ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P</m:t>
            </m:r>
          </m:sub>
        </m:sSub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 &gt; 0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i w:val="0"/>
          <w:iCs w:val="0"/>
          <w:sz w:val="28"/>
          <w:szCs w:val="28"/>
        </w:rPr>
      </w:r>
      <m:oMathPara>
        <m:oMathParaPr>
          <m:jc m:val="left"/>
        </m:oMathParaPr>
        <m:oMath>
          <m:r>
            <w:rPr>
              <w:sz w:val="28"/>
              <w:szCs w:val="28"/>
            </w:rPr>
            <m:rPr>
              <m:sty m:val="p"/>
            </m:rPr>
            <m:t>20≥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z </m:t>
          </m:r>
          <m:r>
            <w:rPr>
              <w:sz w:val="28"/>
              <w:szCs w:val="28"/>
            </w:rPr>
            <m:rPr>
              <m:sty m:val="p"/>
            </m:rPr>
            <m:t>≥</m:t>
          </m:r>
          <m:r>
            <w:rPr>
              <w:rFonts w:hint="default" w:ascii="Cambria Math" w:hAnsi="Cambria Math" w:eastAsia="Cambria Math" w:cs="Cambria Math"/>
              <w:color w:val="000000"/>
              <w:sz w:val="28"/>
              <w:szCs w:val="28"/>
              <w:highlight w:val="none"/>
            </w:rPr>
            <m:rPr>
              <m:sty m:val="p"/>
            </m:rPr>
            <m:t> 12</m:t>
          </m:r>
        </m:oMath>
      </m:oMathPara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 w:val="0"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304"/>
        <w:ind w:left="0" w:firstLine="0"/>
        <w:jc w:val="left"/>
        <w:rPr>
          <w:rFonts w:ascii="Times New Roman" w:hAnsi="Times New Roman" w:eastAsia="Arial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  <w:t xml:space="preserve">Ответ:</w:t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tbl>
      <w:tblPr>
        <w:tblStyle w:val="1154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z, л/100км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Правило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Ст. истинности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Оценка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[12.6; 20]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Пр. 4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Гоген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Cs w:val="0"/>
                <w:i w:val="0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[12; 20]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i w:val="0"/>
                <w:iCs w:val="0"/>
                <w:sz w:val="28"/>
                <w:szCs w:val="28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Cs w:val="0"/>
                <w:i w:val="0"/>
                <w:color w:val="00000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Пр. 4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i w:val="0"/>
                <w:iCs w:val="0"/>
                <w:sz w:val="28"/>
                <w:szCs w:val="28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0.85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1304"/>
              <w:jc w:val="center"/>
              <w:rPr>
                <w:rFonts w:ascii="Times New Roman" w:hAnsi="Times New Roman" w:eastAsia="Arial" w:cs="Times New Roman"/>
                <w:b w:val="0"/>
                <w:bCs w:val="0"/>
                <w:i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  <w:t xml:space="preserve">Заде</w:t>
            </w: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pStyle w:val="1304"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8"/>
      <w:szCs w:val="28"/>
    </w:rPr>
  </w:style>
  <w:style w:type="paragraph" w:styleId="1304" w:customStyle="1">
    <w:name w:val="обычный 2"/>
    <w:basedOn w:val="1298"/>
    <w:link w:val="1303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2022-12-09T23:34:19Z</dcterms:modified>
</cp:coreProperties>
</file>