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A9540" w14:textId="77777777" w:rsidR="00872743" w:rsidRPr="00872743" w:rsidRDefault="00872743" w:rsidP="00872743">
      <w:pPr>
        <w:rPr>
          <w:b/>
          <w:bCs/>
          <w:sz w:val="40"/>
          <w:szCs w:val="40"/>
        </w:rPr>
      </w:pPr>
      <w:r w:rsidRPr="00872743">
        <w:rPr>
          <w:b/>
          <w:bCs/>
          <w:sz w:val="40"/>
          <w:szCs w:val="40"/>
        </w:rPr>
        <w:t>Business Problem Statement</w:t>
      </w:r>
    </w:p>
    <w:p w14:paraId="392C9670" w14:textId="77777777" w:rsidR="00872743" w:rsidRPr="00872743" w:rsidRDefault="00872743" w:rsidP="00872743">
      <w:pPr>
        <w:rPr>
          <w:b/>
          <w:bCs/>
        </w:rPr>
      </w:pPr>
      <w:r w:rsidRPr="00872743">
        <w:rPr>
          <w:b/>
          <w:bCs/>
        </w:rPr>
        <w:t>Background</w:t>
      </w:r>
    </w:p>
    <w:p w14:paraId="7E940686" w14:textId="77777777" w:rsidR="00872743" w:rsidRPr="00872743" w:rsidRDefault="00872743" w:rsidP="00872743">
      <w:r w:rsidRPr="00872743">
        <w:t>The global e-commerce market operates on thin margins where scaling revenue does not automatically guarantee financial sustainability. For a multi-regional e-commerce store operating across diverse product ecosystems (Technology, Office Supplies, and Furniture), maintaining a healthy balance between aggressive promotional discounting and net profitability is a constant operational challenge.</w:t>
      </w:r>
    </w:p>
    <w:p w14:paraId="0FCB3998" w14:textId="77777777" w:rsidR="00872743" w:rsidRPr="00872743" w:rsidRDefault="00872743" w:rsidP="00872743">
      <w:pPr>
        <w:rPr>
          <w:b/>
          <w:bCs/>
        </w:rPr>
      </w:pPr>
      <w:r w:rsidRPr="00872743">
        <w:rPr>
          <w:b/>
          <w:bCs/>
        </w:rPr>
        <w:t>The Core Problem</w:t>
      </w:r>
    </w:p>
    <w:p w14:paraId="026D39E4" w14:textId="77777777" w:rsidR="00872743" w:rsidRPr="00872743" w:rsidRDefault="00872743" w:rsidP="00872743">
      <w:r w:rsidRPr="00872743">
        <w:t xml:space="preserve">While the store successfully generates a massive top-line revenue of </w:t>
      </w:r>
      <w:r w:rsidRPr="00872743">
        <w:rPr>
          <w:b/>
          <w:bCs/>
        </w:rPr>
        <w:t>$2.30 Million</w:t>
      </w:r>
      <w:r w:rsidRPr="00872743">
        <w:t>, the underlying transactional data reveals critical operational inefficiencies and leakages that drain overall business value:</w:t>
      </w:r>
    </w:p>
    <w:p w14:paraId="33527FC0" w14:textId="77777777" w:rsidR="00872743" w:rsidRPr="00872743" w:rsidRDefault="00872743" w:rsidP="00872743">
      <w:pPr>
        <w:numPr>
          <w:ilvl w:val="0"/>
          <w:numId w:val="1"/>
        </w:numPr>
      </w:pPr>
      <w:r w:rsidRPr="00872743">
        <w:rPr>
          <w:b/>
          <w:bCs/>
        </w:rPr>
        <w:t>The Product Profitability Paradox (The Furniture Crisis):</w:t>
      </w:r>
      <w:r w:rsidRPr="00872743">
        <w:t xml:space="preserve"> The </w:t>
      </w:r>
      <w:r w:rsidRPr="00872743">
        <w:rPr>
          <w:b/>
          <w:bCs/>
        </w:rPr>
        <w:t>Furniture</w:t>
      </w:r>
      <w:r w:rsidRPr="00872743">
        <w:t xml:space="preserve"> category acts as a massive revenue driver, bringing in </w:t>
      </w:r>
      <w:r w:rsidRPr="00872743">
        <w:rPr>
          <w:b/>
          <w:bCs/>
        </w:rPr>
        <w:t>$741.9K</w:t>
      </w:r>
      <w:r w:rsidRPr="00872743">
        <w:t xml:space="preserve"> in sales, yet fails to convert this scale into meaningful bottom-line value, yielding a critically low profit of just </w:t>
      </w:r>
      <w:r w:rsidRPr="00872743">
        <w:rPr>
          <w:b/>
          <w:bCs/>
        </w:rPr>
        <w:t>$18.4K</w:t>
      </w:r>
      <w:r w:rsidRPr="00872743">
        <w:t xml:space="preserve">. Even more alarmingly, the </w:t>
      </w:r>
      <w:r w:rsidRPr="00872743">
        <w:rPr>
          <w:b/>
          <w:bCs/>
        </w:rPr>
        <w:t>Tables</w:t>
      </w:r>
      <w:r w:rsidRPr="00872743">
        <w:t xml:space="preserve"> sub-category is actively bleeding cash, generating a net loss of </w:t>
      </w:r>
      <w:r w:rsidRPr="00872743">
        <w:rPr>
          <w:b/>
          <w:bCs/>
        </w:rPr>
        <w:t>-$17,725.48</w:t>
      </w:r>
      <w:r w:rsidRPr="00872743">
        <w:t>—making it the single biggest revenue drain in the entire business.</w:t>
      </w:r>
    </w:p>
    <w:p w14:paraId="7EFBAAC3" w14:textId="77777777" w:rsidR="00872743" w:rsidRPr="00872743" w:rsidRDefault="00872743" w:rsidP="00872743">
      <w:pPr>
        <w:numPr>
          <w:ilvl w:val="0"/>
          <w:numId w:val="1"/>
        </w:numPr>
      </w:pPr>
      <w:r w:rsidRPr="00872743">
        <w:rPr>
          <w:b/>
          <w:bCs/>
        </w:rPr>
        <w:t>Aggressive Over-Discounting Strategy:</w:t>
      </w:r>
      <w:r w:rsidRPr="00872743">
        <w:t xml:space="preserve"> Data insights reveal a deep operational flaw in pricing logic: when </w:t>
      </w:r>
      <w:r w:rsidRPr="00872743">
        <w:rPr>
          <w:b/>
          <w:bCs/>
        </w:rPr>
        <w:t>Tables</w:t>
      </w:r>
      <w:r w:rsidRPr="00872743">
        <w:t xml:space="preserve"> are sold without discounts, they generate a healthy positive profit of </w:t>
      </w:r>
      <w:r w:rsidRPr="00872743">
        <w:rPr>
          <w:b/>
          <w:bCs/>
        </w:rPr>
        <w:t>$13,276</w:t>
      </w:r>
      <w:r w:rsidRPr="00872743">
        <w:t xml:space="preserve">. However, unoptimized promotional strategies and high average discounts ($0.26 per unit) completely erode these margins, resulting in a staggering loss of </w:t>
      </w:r>
      <w:r w:rsidRPr="00872743">
        <w:rPr>
          <w:b/>
          <w:bCs/>
        </w:rPr>
        <w:t>-$31,001</w:t>
      </w:r>
      <w:r w:rsidRPr="00872743">
        <w:t xml:space="preserve"> on discounted orders.</w:t>
      </w:r>
    </w:p>
    <w:p w14:paraId="17D2ECA9" w14:textId="77777777" w:rsidR="00872743" w:rsidRPr="00872743" w:rsidRDefault="00872743" w:rsidP="00872743">
      <w:pPr>
        <w:numPr>
          <w:ilvl w:val="0"/>
          <w:numId w:val="1"/>
        </w:numPr>
      </w:pPr>
      <w:r w:rsidRPr="00872743">
        <w:rPr>
          <w:b/>
          <w:bCs/>
        </w:rPr>
        <w:t>Regional Conversion Inefficiencies:</w:t>
      </w:r>
      <w:r w:rsidRPr="00872743">
        <w:t xml:space="preserve"> Despite solid market penetration across all demographics, the </w:t>
      </w:r>
      <w:r w:rsidRPr="00872743">
        <w:rPr>
          <w:b/>
          <w:bCs/>
        </w:rPr>
        <w:t>Central Region</w:t>
      </w:r>
      <w:r w:rsidRPr="00872743">
        <w:t xml:space="preserve"> demonstrates severe structural inefficiency. It drives half a million dollars ($501.2K) in sales but fails to retain margins, yielding a mere </w:t>
      </w:r>
      <w:r w:rsidRPr="00872743">
        <w:rPr>
          <w:b/>
          <w:bCs/>
        </w:rPr>
        <w:t>$39.7K</w:t>
      </w:r>
      <w:r w:rsidRPr="00872743">
        <w:t xml:space="preserve"> in profit—underperforming drastically compared to the highly efficient West and East regions.</w:t>
      </w:r>
    </w:p>
    <w:p w14:paraId="3E169107" w14:textId="77777777" w:rsidR="0016157A" w:rsidRDefault="0016157A"/>
    <w:sectPr w:rsidR="001615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B3099"/>
    <w:multiLevelType w:val="multilevel"/>
    <w:tmpl w:val="59BAC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668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743"/>
    <w:rsid w:val="00047CBF"/>
    <w:rsid w:val="0016157A"/>
    <w:rsid w:val="002F4893"/>
    <w:rsid w:val="00872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C4E0B"/>
  <w15:chartTrackingRefBased/>
  <w15:docId w15:val="{26246DA8-44BD-4CBA-860F-2A14C3C6B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7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7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7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7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7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7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7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7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7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7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7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7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7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7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7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7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7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7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7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7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7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7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7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7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7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7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7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7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7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273</Words>
  <Characters>1560</Characters>
  <Application>Microsoft Office Word</Application>
  <DocSecurity>0</DocSecurity>
  <Lines>13</Lines>
  <Paragraphs>3</Paragraphs>
  <ScaleCrop>false</ScaleCrop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Tridev Dogra</dc:creator>
  <cp:keywords/>
  <dc:description/>
  <cp:lastModifiedBy>Tridev Dogra</cp:lastModifiedBy>
  <cp:revision>1</cp:revision>
  <dcterms:created xsi:type="dcterms:W3CDTF">2026-06-18T12:57:00Z</dcterms:created>
  <dcterms:modified xsi:type="dcterms:W3CDTF">2026-06-18T12:58:00Z</dcterms:modified>
</cp:coreProperties>
</file>