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5FA6"/>
          <w:sz w:val="48"/>
          <w:szCs w:val="48"/>
        </w:rPr>
        <w:t xml:space="preserve">Agent Quality &amp; Process ROI Platform</w:t>
      </w:r>
    </w:p>
    <w:p>
      <w:pPr>
        <w:spacing w:before="0" w:after="80"/>
      </w:pPr>
      <w:r>
        <w:rPr>
          <w:rFonts w:ascii="Arial" w:cs="Arial" w:eastAsia="Arial" w:hAnsi="Arial"/>
          <w:color w:val="0F6E56"/>
          <w:sz w:val="26"/>
          <w:szCs w:val="26"/>
        </w:rPr>
        <w:t xml:space="preserve">Six Sigma × OEE / SERVQUAL × ISO 42001 × O*NET</w:t>
      </w:r>
    </w:p>
    <w:p>
      <w:pPr>
        <w:spacing w:before="0" w:after="320"/>
      </w:pPr>
      <w:r>
        <w:rPr>
          <w:rFonts w:ascii="Arial" w:cs="Arial" w:eastAsia="Arial" w:hAnsi="Arial"/>
          <w:i/>
          <w:iCs/>
          <w:color w:val="888780"/>
          <w:sz w:val="20"/>
          <w:szCs w:val="20"/>
        </w:rPr>
        <w:t xml:space="preserve">Brain Dump &amp; Product Scope  —  FuzeBox AI  /  Trigent AI Business Unit  —  March 2026</w:t>
      </w:r>
    </w:p>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1. North Star — The Symmetry Equation</w:t>
      </w:r>
    </w:p>
    <w:p>
      <w:pPr>
        <w:spacing w:before="60" w:after="100"/>
      </w:pPr>
      <w:r>
        <w:rPr>
          <w:rFonts w:ascii="Arial" w:cs="Arial" w:eastAsia="Arial" w:hAnsi="Arial"/>
          <w:color w:val="2C2C2A"/>
          <w:sz w:val="22"/>
          <w:szCs w:val="22"/>
        </w:rPr>
        <w:t xml:space="preserve">Everything this platform produces flows from one non-negotiable output: Les's symmetry equation. Not agent ROI in isolation — total process ROI with humans in the loop.</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D6E8F7" w:val="clear"/>
            <w:tcMar>
              <w:top w:type="dxa" w:w="160"/>
              <w:left w:type="dxa" w:w="240"/>
              <w:bottom w:type="dxa" w:w="160"/>
              <w:right w:type="dxa" w:w="240"/>
            </w:tcMar>
          </w:tcPr>
          <w:p>
            <w:pPr>
              <w:spacing w:after="100"/>
            </w:pPr>
            <w:r>
              <w:rPr>
                <w:rFonts w:ascii="Arial" w:cs="Arial" w:eastAsia="Arial" w:hAnsi="Arial"/>
                <w:b/>
                <w:bCs/>
                <w:color w:val="1F5FA6"/>
                <w:sz w:val="18"/>
                <w:szCs w:val="18"/>
              </w:rPr>
              <w:t xml:space="preserve">THE SYMMETRY EQUATION</w:t>
            </w:r>
          </w:p>
          <w:p>
            <w:pPr>
              <w:spacing w:after="80"/>
            </w:pPr>
            <w:r>
              <w:rPr>
                <w:rFonts w:ascii="Arial" w:cs="Arial" w:eastAsia="Arial" w:hAnsi="Arial"/>
                <w:b/>
                <w:bCs/>
                <w:color w:val="2C2C2A"/>
                <w:sz w:val="22"/>
                <w:szCs w:val="22"/>
              </w:rPr>
              <w:t xml:space="preserve">(Agent Coverage % × Agent Quality Score)  +  (Human Coverage % × Human Productivity Rate)  =  Total Process ROI</w:t>
            </w:r>
          </w:p>
          <w:p>
            <w:r>
              <w:rPr>
                <w:rFonts w:ascii="Arial" w:cs="Arial" w:eastAsia="Arial" w:hAnsi="Arial"/>
                <w:i/>
                <w:iCs/>
                <w:color w:val="444441"/>
                <w:sz w:val="20"/>
                <w:szCs w:val="20"/>
              </w:rPr>
              <w:t xml:space="preserve">Net ROI  =  Gross Saving  −  Oversight Hours  −  Governance Overhead  −  Inference Cost</w:t>
            </w:r>
          </w:p>
        </w:tc>
      </w:tr>
    </w:tbl>
    <w:p>
      <w:pPr>
        <w:spacing w:before="160" w:after="80"/>
      </w:pPr>
    </w:p>
    <w:p>
      <w:pPr>
        <w:pStyle w:val="Heading2"/>
        <w:spacing w:before="280" w:after="100"/>
      </w:pPr>
      <w:r>
        <w:rPr>
          <w:rFonts w:ascii="Arial" w:cs="Arial" w:eastAsia="Arial" w:hAnsi="Arial"/>
          <w:b/>
          <w:bCs/>
          <w:color w:val="444441"/>
          <w:sz w:val="22"/>
          <w:szCs w:val="22"/>
        </w:rPr>
        <w:t xml:space="preserve">Les's Three Non-Negotiable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20"/>
        <w:gridCol w:w="4440"/>
      </w:tblGrid>
      <w:tr>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F5FA6"/>
                <w:sz w:val="20"/>
                <w:szCs w:val="20"/>
              </w:rPr>
              <w:t xml:space="preserve">Ask #1</w:t>
            </w:r>
          </w:p>
        </w:tc>
        <w:tc>
          <w:tcPr>
            <w:tcW w:type="dxa" w:w="37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2C2C2A"/>
                <w:sz w:val="20"/>
                <w:szCs w:val="20"/>
              </w:rPr>
              <w:t xml:space="preserve">Symmetry equation</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Total return with human in loop. Full process fit — not just agent ROI. Screen 03.</w:t>
            </w:r>
          </w:p>
        </w:tc>
      </w:tr>
      <w:tr>
        <w:tc>
          <w:tcPr>
            <w:tcW w:type="dxa" w:w="1200"/>
            <w:tcBorders>
              <w:top w:val="single" w:color="CCCCCC" w:sz="1"/>
              <w:left w:val="single" w:color="CCCCCC" w:sz="1"/>
              <w:bottom w:val="single" w:color="CCCCCC" w:sz="1"/>
              <w:right w:val="single" w:color="CCCCCC" w:sz="1"/>
            </w:tcBorders>
            <w:shd w:fill="D5EFE6"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Ask #2</w:t>
            </w:r>
          </w:p>
        </w:tc>
        <w:tc>
          <w:tcPr>
            <w:tcW w:type="dxa" w:w="37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2C2C2A"/>
                <w:sz w:val="20"/>
                <w:szCs w:val="20"/>
              </w:rPr>
              <w:t xml:space="preserve">Labor graph</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Before/after workforce view. O*NET task list. What migrates to agent, what skills the human now needs. Screen 02 + 03.</w:t>
            </w:r>
          </w:p>
        </w:tc>
      </w:tr>
      <w:tr>
        <w:tc>
          <w:tcPr>
            <w:tcW w:type="dxa" w:w="1200"/>
            <w:tcBorders>
              <w:top w:val="single" w:color="CCCCCC" w:sz="1"/>
              <w:left w:val="single" w:color="CCCCCC" w:sz="1"/>
              <w:bottom w:val="single" w:color="CCCCCC" w:sz="1"/>
              <w:right w:val="single" w:color="CCCCCC" w:sz="1"/>
            </w:tcBorders>
            <w:shd w:fill="FDE9C0"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Ask #3</w:t>
            </w:r>
          </w:p>
        </w:tc>
        <w:tc>
          <w:tcPr>
            <w:tcW w:type="dxa" w:w="372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2C2C2A"/>
                <w:sz w:val="20"/>
                <w:szCs w:val="20"/>
              </w:rPr>
              <w:t xml:space="preserve">Governance audit trail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Who decided, how, what % delegated vs retained. EU AI Act (Aug 2025) audit log. ISO 42001 compliance. Screen 05.</w:t>
            </w:r>
          </w:p>
        </w:tc>
      </w:tr>
    </w:tbl>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2. Three Framework Pillars</w:t>
      </w:r>
    </w:p>
    <w:p>
      <w:pPr>
        <w:spacing w:before="60" w:after="100"/>
      </w:pPr>
      <w:r>
        <w:rPr>
          <w:rFonts w:ascii="Arial" w:cs="Arial" w:eastAsia="Arial" w:hAnsi="Arial"/>
          <w:color w:val="2C2C2A"/>
          <w:sz w:val="22"/>
          <w:szCs w:val="22"/>
        </w:rPr>
        <w:t xml:space="preserve">The core insight: we are not inventing a new framework. We are applying three existing, citable, peer-reviewed frameworks to a problem nobody has solved yet — measuring AI agent quality in the language business leaders already speak.</w:t>
      </w:r>
    </w:p>
    <w:p>
      <w:pPr>
        <w:pBdr>
          <w:left w:val="single" w:color="1F5FA6" w:sz="16" w:space="8"/>
        </w:pBdr>
        <w:shd w:fill="D6E8F7" w:val="clear"/>
        <w:spacing w:before="120" w:after="120"/>
        <w:ind w:left="360"/>
      </w:pPr>
      <w:r>
        <w:rPr>
          <w:rFonts w:ascii="Arial" w:cs="Arial" w:eastAsia="Arial" w:hAnsi="Arial"/>
          <w:i/>
          <w:iCs/>
          <w:color w:val="2C2C2A"/>
          <w:sz w:val="21"/>
          <w:szCs w:val="21"/>
        </w:rPr>
        <w:t xml:space="preserve">"We didn't invent a new metric. We applied three established frameworks — used in manufacturing, quality management, and AI governance — to agent measurement. For the first time in one place."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2920"/>
            <w:tcBorders>
              <w:top w:val="single" w:color="CCCCCC" w:sz="1"/>
              <w:left w:val="single" w:color="CCCCCC" w:sz="1"/>
              <w:bottom w:val="single" w:color="CCCCCC" w:sz="1"/>
              <w:right w:val="single" w:color="CCCCCC" w:sz="1"/>
            </w:tcBorders>
            <w:shd w:fill="D6E8F7" w:val="clear"/>
            <w:tcMar>
              <w:top w:type="dxa" w:w="120"/>
              <w:left w:type="dxa" w:w="140"/>
              <w:bottom w:type="dxa" w:w="120"/>
              <w:right w:type="dxa" w:w="140"/>
            </w:tcMar>
          </w:tcPr>
          <w:p>
            <w:pPr>
              <w:spacing w:after="60"/>
            </w:pPr>
            <w:r>
              <w:rPr>
                <w:rFonts w:ascii="Arial" w:cs="Arial" w:eastAsia="Arial" w:hAnsi="Arial"/>
                <w:b/>
                <w:bCs/>
                <w:color w:val="1F5FA6"/>
                <w:sz w:val="17"/>
                <w:szCs w:val="17"/>
              </w:rPr>
              <w:t xml:space="preserve">ASQ / ISO 13053</w:t>
            </w:r>
          </w:p>
          <w:p>
            <w:pPr>
              <w:spacing w:after="60"/>
            </w:pPr>
            <w:r>
              <w:rPr>
                <w:rFonts w:ascii="Arial" w:cs="Arial" w:eastAsia="Arial" w:hAnsi="Arial"/>
                <w:b/>
                <w:bCs/>
                <w:color w:val="2C2C2A"/>
                <w:sz w:val="20"/>
                <w:szCs w:val="20"/>
              </w:rPr>
              <w:t xml:space="preserve">Six Sigma — DPMO</w:t>
            </w:r>
          </w:p>
          <w:p>
            <w:pPr>
              <w:spacing w:after="60"/>
            </w:pPr>
            <w:r>
              <w:rPr>
                <w:rFonts w:ascii="Arial" w:cs="Arial" w:eastAsia="Arial" w:hAnsi="Arial"/>
                <w:color w:val="444441"/>
                <w:sz w:val="18"/>
                <w:szCs w:val="18"/>
              </w:rPr>
              <w:t xml:space="preserve">Defects per million opportunities mapped to agent invocations. Defect = task failure, latency P90 breach, or cost overrun. Universal quality language enterprises already use.</w:t>
            </w:r>
          </w:p>
          <w:p>
            <w:r>
              <w:rPr>
                <w:rFonts w:ascii="Arial" w:cs="Arial" w:eastAsia="Arial" w:hAnsi="Arial"/>
                <w:i/>
                <w:iCs/>
                <w:color w:val="888780"/>
                <w:sz w:val="16"/>
                <w:szCs w:val="16"/>
              </w:rPr>
              <w:t xml:space="preserve">Cite: American Society for Quality (ASQ), IEC 60812 for FMEA</w:t>
            </w:r>
          </w:p>
        </w:tc>
        <w:tc>
          <w:tcPr>
            <w:tcW w:type="dxa" w:w="80"/>
            <w:tcBorders>
              <w:top w:val="none" w:color="FFFFFF" w:sz="0"/>
              <w:left w:val="none" w:color="FFFFFF" w:sz="0"/>
              <w:bottom w:val="none" w:color="FFFFFF" w:sz="0"/>
              <w:right w:val="none" w:color="FFFFFF" w:sz="0"/>
            </w:tcBorders>
          </w:tcPr>
          <w:p/>
        </w:tc>
        <w:tc>
          <w:tcPr>
            <w:tcW w:type="dxa" w:w="2920"/>
            <w:tcBorders>
              <w:top w:val="single" w:color="CCCCCC" w:sz="1"/>
              <w:left w:val="single" w:color="CCCCCC" w:sz="1"/>
              <w:bottom w:val="single" w:color="CCCCCC" w:sz="1"/>
              <w:right w:val="single" w:color="CCCCCC" w:sz="1"/>
            </w:tcBorders>
            <w:shd w:fill="D5EFE6" w:val="clear"/>
            <w:tcMar>
              <w:top w:type="dxa" w:w="120"/>
              <w:left w:type="dxa" w:w="140"/>
              <w:bottom w:type="dxa" w:w="120"/>
              <w:right w:type="dxa" w:w="140"/>
            </w:tcMar>
          </w:tcPr>
          <w:p>
            <w:pPr>
              <w:spacing w:after="60"/>
            </w:pPr>
            <w:r>
              <w:rPr>
                <w:rFonts w:ascii="Arial" w:cs="Arial" w:eastAsia="Arial" w:hAnsi="Arial"/>
                <w:b/>
                <w:bCs/>
                <w:color w:val="0F6E56"/>
                <w:sz w:val="17"/>
                <w:szCs w:val="17"/>
              </w:rPr>
              <w:t xml:space="preserve">ISO 22400 — non-hospitality</w:t>
            </w:r>
          </w:p>
          <w:p>
            <w:pPr>
              <w:spacing w:after="60"/>
            </w:pPr>
            <w:r>
              <w:rPr>
                <w:rFonts w:ascii="Arial" w:cs="Arial" w:eastAsia="Arial" w:hAnsi="Arial"/>
                <w:b/>
                <w:bCs/>
                <w:color w:val="2C2C2A"/>
                <w:sz w:val="20"/>
                <w:szCs w:val="20"/>
              </w:rPr>
              <w:t xml:space="preserve">OEE — Overall Equipment Effectiveness</w:t>
            </w:r>
          </w:p>
          <w:p>
            <w:pPr>
              <w:spacing w:after="60"/>
            </w:pPr>
            <w:r>
              <w:rPr>
                <w:rFonts w:ascii="Arial" w:cs="Arial" w:eastAsia="Arial" w:hAnsi="Arial"/>
                <w:color w:val="444441"/>
                <w:sz w:val="18"/>
                <w:szCs w:val="18"/>
              </w:rPr>
              <w:t xml:space="preserve">Availability × Performance × Quality. Maps directly: agent uptime × latency SLA × task success rate. 85%+ = world class. Every ops leader already knows this number.</w:t>
            </w:r>
          </w:p>
          <w:p>
            <w:r>
              <w:rPr>
                <w:rFonts w:ascii="Arial" w:cs="Arial" w:eastAsia="Arial" w:hAnsi="Arial"/>
                <w:i/>
                <w:iCs/>
                <w:color w:val="888780"/>
                <w:sz w:val="16"/>
                <w:szCs w:val="16"/>
              </w:rPr>
              <w:t xml:space="preserve">Cite: ISO 22400-2, adopted in logistics, BPO, and tech ops</w:t>
            </w:r>
          </w:p>
        </w:tc>
        <w:tc>
          <w:tcPr>
            <w:tcW w:type="dxa" w:w="80"/>
            <w:tcBorders>
              <w:top w:val="none" w:color="FFFFFF" w:sz="0"/>
              <w:left w:val="none" w:color="FFFFFF" w:sz="0"/>
              <w:bottom w:val="none" w:color="FFFFFF" w:sz="0"/>
              <w:right w:val="none" w:color="FFFFFF" w:sz="0"/>
            </w:tcBorders>
          </w:tcPr>
          <w:p/>
        </w:tc>
        <w:tc>
          <w:tcPr>
            <w:tcW w:type="dxa" w:w="2920"/>
            <w:tcBorders>
              <w:top w:val="single" w:color="CCCCCC" w:sz="1"/>
              <w:left w:val="single" w:color="CCCCCC" w:sz="1"/>
              <w:bottom w:val="single" w:color="CCCCCC" w:sz="1"/>
              <w:right w:val="single" w:color="CCCCCC" w:sz="1"/>
            </w:tcBorders>
            <w:shd w:fill="FDE9C0" w:val="clear"/>
            <w:tcMar>
              <w:top w:type="dxa" w:w="120"/>
              <w:left w:type="dxa" w:w="140"/>
              <w:bottom w:type="dxa" w:w="120"/>
              <w:right w:type="dxa" w:w="140"/>
            </w:tcMar>
          </w:tcPr>
          <w:p>
            <w:pPr>
              <w:spacing w:after="60"/>
            </w:pPr>
            <w:r>
              <w:rPr>
                <w:rFonts w:ascii="Arial" w:cs="Arial" w:eastAsia="Arial" w:hAnsi="Arial"/>
                <w:b/>
                <w:bCs/>
                <w:color w:val="854F0B"/>
                <w:sz w:val="17"/>
                <w:szCs w:val="17"/>
              </w:rPr>
              <w:t xml:space="preserve">Parasuraman et al. — hospitality only</w:t>
            </w:r>
          </w:p>
          <w:p>
            <w:pPr>
              <w:spacing w:after="60"/>
            </w:pPr>
            <w:r>
              <w:rPr>
                <w:rFonts w:ascii="Arial" w:cs="Arial" w:eastAsia="Arial" w:hAnsi="Arial"/>
                <w:b/>
                <w:bCs/>
                <w:color w:val="2C2C2A"/>
                <w:sz w:val="20"/>
                <w:szCs w:val="20"/>
              </w:rPr>
              <w:t xml:space="preserve">SERVQUAL — Service Quality</w:t>
            </w:r>
          </w:p>
          <w:p>
            <w:pPr>
              <w:spacing w:after="60"/>
            </w:pPr>
            <w:r>
              <w:rPr>
                <w:rFonts w:ascii="Arial" w:cs="Arial" w:eastAsia="Arial" w:hAnsi="Arial"/>
                <w:color w:val="444441"/>
                <w:sz w:val="18"/>
                <w:szCs w:val="18"/>
              </w:rPr>
              <w:t xml:space="preserve">Reliability, responsiveness, assurance, empathy, tangibles. Replaces OEE when client is hotel, casino, or hospitality. Same underlying calculation, different vocabulary.</w:t>
            </w:r>
          </w:p>
          <w:p>
            <w:r>
              <w:rPr>
                <w:rFonts w:ascii="Arial" w:cs="Arial" w:eastAsia="Arial" w:hAnsi="Arial"/>
                <w:i/>
                <w:iCs/>
                <w:color w:val="888780"/>
                <w:sz w:val="16"/>
                <w:szCs w:val="16"/>
              </w:rPr>
              <w:t xml:space="preserve">Cite: Parasuraman, Zeithaml &amp; Berry (1988) — widely cited in service ops literature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80"/>
        <w:gridCol w:w="3080"/>
        <w:gridCol w:w="80"/>
        <w:gridCol w:w="3040"/>
      </w:tblGrid>
      <w:tr>
        <w:tc>
          <w:tcPr>
            <w:tcW w:type="dxa" w:w="2920"/>
            <w:tcBorders>
              <w:top w:val="single" w:color="CCCCCC" w:sz="1"/>
              <w:left w:val="single" w:color="CCCCCC" w:sz="1"/>
              <w:bottom w:val="single" w:color="CCCCCC" w:sz="1"/>
              <w:right w:val="single" w:color="CCCCCC" w:sz="1"/>
            </w:tcBorders>
            <w:shd w:fill="E8E7FC" w:val="clear"/>
            <w:tcMar>
              <w:top w:type="dxa" w:w="120"/>
              <w:left w:type="dxa" w:w="140"/>
              <w:bottom w:type="dxa" w:w="120"/>
              <w:right w:type="dxa" w:w="140"/>
            </w:tcMar>
          </w:tcPr>
          <w:p>
            <w:pPr>
              <w:spacing w:after="60"/>
            </w:pPr>
            <w:r>
              <w:rPr>
                <w:rFonts w:ascii="Arial" w:cs="Arial" w:eastAsia="Arial" w:hAnsi="Arial"/>
                <w:b/>
                <w:bCs/>
                <w:color w:val="534AB7"/>
                <w:sz w:val="17"/>
                <w:szCs w:val="17"/>
              </w:rPr>
              <w:t xml:space="preserve">ISO/IEC 42001:2023</w:t>
            </w:r>
          </w:p>
          <w:p>
            <w:pPr>
              <w:spacing w:after="60"/>
            </w:pPr>
            <w:r>
              <w:rPr>
                <w:rFonts w:ascii="Arial" w:cs="Arial" w:eastAsia="Arial" w:hAnsi="Arial"/>
                <w:b/>
                <w:bCs/>
                <w:color w:val="2C2C2A"/>
                <w:sz w:val="20"/>
                <w:szCs w:val="20"/>
              </w:rPr>
              <w:t xml:space="preserve">AI Governance Layer</w:t>
            </w:r>
          </w:p>
          <w:p>
            <w:pPr>
              <w:spacing w:after="60"/>
            </w:pPr>
            <w:r>
              <w:rPr>
                <w:rFonts w:ascii="Arial" w:cs="Arial" w:eastAsia="Arial" w:hAnsi="Arial"/>
                <w:color w:val="444441"/>
                <w:sz w:val="18"/>
                <w:szCs w:val="18"/>
              </w:rPr>
              <w:t xml:space="preserve">AI management system standard. Audit logs, human oversight, decision traceability. EU AI Act Article 14 (Aug 2025) compliance anchor. Gives compliance team something to cite.</w:t>
            </w:r>
          </w:p>
          <w:p>
            <w:r>
              <w:rPr>
                <w:rFonts w:ascii="Arial" w:cs="Arial" w:eastAsia="Arial" w:hAnsi="Arial"/>
                <w:i/>
                <w:iCs/>
                <w:color w:val="888780"/>
                <w:sz w:val="16"/>
                <w:szCs w:val="16"/>
              </w:rPr>
              <w:t xml:space="preserve">Cite: ISO/IEC 42001:2023, EU AI Act Article 14 on human oversight</w:t>
            </w:r>
          </w:p>
        </w:tc>
        <w:tc>
          <w:tcPr>
            <w:tcW w:type="dxa" w:w="80"/>
            <w:tcBorders>
              <w:top w:val="none" w:color="FFFFFF" w:sz="0"/>
              <w:left w:val="none" w:color="FFFFFF" w:sz="0"/>
              <w:bottom w:val="none" w:color="FFFFFF" w:sz="0"/>
              <w:right w:val="none" w:color="FFFFFF" w:sz="0"/>
            </w:tcBorders>
          </w:tcPr>
          <w:p/>
        </w:tc>
        <w:tc>
          <w:tcPr>
            <w:tcW w:type="dxa" w:w="2920"/>
            <w:tcBorders>
              <w:top w:val="single" w:color="CCCCCC" w:sz="1"/>
              <w:left w:val="single" w:color="CCCCCC" w:sz="1"/>
              <w:bottom w:val="single" w:color="CCCCCC" w:sz="1"/>
              <w:right w:val="single" w:color="CCCCCC" w:sz="1"/>
            </w:tcBorders>
            <w:shd w:fill="DFF0C8" w:val="clear"/>
            <w:tcMar>
              <w:top w:type="dxa" w:w="120"/>
              <w:left w:type="dxa" w:w="140"/>
              <w:bottom w:type="dxa" w:w="120"/>
              <w:right w:type="dxa" w:w="140"/>
            </w:tcMar>
          </w:tcPr>
          <w:p>
            <w:pPr>
              <w:spacing w:after="60"/>
            </w:pPr>
            <w:r>
              <w:rPr>
                <w:rFonts w:ascii="Arial" w:cs="Arial" w:eastAsia="Arial" w:hAnsi="Arial"/>
                <w:b/>
                <w:bCs/>
                <w:color w:val="3B6D11"/>
                <w:sz w:val="17"/>
                <w:szCs w:val="17"/>
              </w:rPr>
              <w:t xml:space="preserve">O*NET OnLine / BLS</w:t>
            </w:r>
          </w:p>
          <w:p>
            <w:pPr>
              <w:spacing w:after="60"/>
            </w:pPr>
            <w:r>
              <w:rPr>
                <w:rFonts w:ascii="Arial" w:cs="Arial" w:eastAsia="Arial" w:hAnsi="Arial"/>
                <w:b/>
                <w:bCs/>
                <w:color w:val="2C2C2A"/>
                <w:sz w:val="20"/>
                <w:szCs w:val="20"/>
              </w:rPr>
              <w:t xml:space="preserve">Human Labor Backbone</w:t>
            </w:r>
          </w:p>
          <w:p>
            <w:pPr>
              <w:spacing w:after="60"/>
            </w:pPr>
            <w:r>
              <w:rPr>
                <w:rFonts w:ascii="Arial" w:cs="Arial" w:eastAsia="Arial" w:hAnsi="Arial"/>
                <w:color w:val="444441"/>
                <w:sz w:val="18"/>
                <w:szCs w:val="18"/>
              </w:rPr>
              <w:t xml:space="preserve">Task taxonomy, time weights, and automation susceptibility for every US occupation. Turns the human side of the equation from assumption into citable public data.</w:t>
            </w:r>
          </w:p>
          <w:p>
            <w:r>
              <w:rPr>
                <w:rFonts w:ascii="Arial" w:cs="Arial" w:eastAsia="Arial" w:hAnsi="Arial"/>
                <w:i/>
                <w:iCs/>
                <w:color w:val="888780"/>
                <w:sz w:val="16"/>
                <w:szCs w:val="16"/>
              </w:rPr>
              <w:t xml:space="preserve">Cite: O*NET OnLine (onetcenter.org), BLS Occupational Outlook Handbook</w:t>
            </w:r>
          </w:p>
        </w:tc>
        <w:tc>
          <w:tcPr>
            <w:tcW w:type="dxa" w:w="80"/>
            <w:tcBorders>
              <w:top w:val="none" w:color="FFFFFF" w:sz="0"/>
              <w:left w:val="none" w:color="FFFFFF" w:sz="0"/>
              <w:bottom w:val="none" w:color="FFFFFF" w:sz="0"/>
              <w:right w:val="none" w:color="FFFFFF" w:sz="0"/>
            </w:tcBorders>
          </w:tcPr>
          <w:p/>
        </w:tc>
        <w:tc>
          <w:tcPr>
            <w:tcW w:type="dxa" w:w="2920"/>
            <w:tcBorders>
              <w:top w:val="single" w:color="CCCCCC" w:sz="1"/>
              <w:left w:val="single" w:color="CCCCCC" w:sz="1"/>
              <w:bottom w:val="single" w:color="CCCCCC" w:sz="1"/>
              <w:right w:val="single" w:color="CCCCCC" w:sz="1"/>
            </w:tcBorders>
            <w:shd w:fill="FAE0D8" w:val="clear"/>
            <w:tcMar>
              <w:top w:type="dxa" w:w="120"/>
              <w:left w:type="dxa" w:w="140"/>
              <w:bottom w:type="dxa" w:w="120"/>
              <w:right w:type="dxa" w:w="140"/>
            </w:tcMar>
          </w:tcPr>
          <w:p>
            <w:pPr>
              <w:spacing w:after="60"/>
            </w:pPr>
            <w:r>
              <w:rPr>
                <w:rFonts w:ascii="Arial" w:cs="Arial" w:eastAsia="Arial" w:hAnsi="Arial"/>
                <w:b/>
                <w:bCs/>
                <w:color w:val="993C1D"/>
                <w:sz w:val="17"/>
                <w:szCs w:val="17"/>
              </w:rPr>
              <w:t xml:space="preserve">Google SRE / IEEE P2675</w:t>
            </w:r>
          </w:p>
          <w:p>
            <w:pPr>
              <w:spacing w:after="60"/>
            </w:pPr>
            <w:r>
              <w:rPr>
                <w:rFonts w:ascii="Arial" w:cs="Arial" w:eastAsia="Arial" w:hAnsi="Arial"/>
                <w:b/>
                <w:bCs/>
                <w:color w:val="2C2C2A"/>
                <w:sz w:val="20"/>
                <w:szCs w:val="20"/>
              </w:rPr>
              <w:t xml:space="preserve">SLO / Error Budget</w:t>
            </w:r>
          </w:p>
          <w:p>
            <w:pPr>
              <w:spacing w:after="60"/>
            </w:pPr>
            <w:r>
              <w:rPr>
                <w:rFonts w:ascii="Arial" w:cs="Arial" w:eastAsia="Arial" w:hAnsi="Arial"/>
                <w:color w:val="444441"/>
                <w:sz w:val="18"/>
                <w:szCs w:val="18"/>
              </w:rPr>
              <w:t xml:space="preserve">Service Level Objectives — universally understood in tech orgs. Error budget = how much unreliability is acceptable. Bridges Six Sigma language to engineering teams.</w:t>
            </w:r>
          </w:p>
          <w:p>
            <w:r>
              <w:rPr>
                <w:rFonts w:ascii="Arial" w:cs="Arial" w:eastAsia="Arial" w:hAnsi="Arial"/>
                <w:i/>
                <w:iCs/>
                <w:color w:val="888780"/>
                <w:sz w:val="16"/>
                <w:szCs w:val="16"/>
              </w:rPr>
              <w:t xml:space="preserve">Cite: Google SRE Book (free), IEEE P2675 DevOps standard</w:t>
            </w:r>
          </w:p>
        </w:tc>
      </w:tr>
    </w:tbl>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3. Sigma Score Translation — The Dual Language Bridge</w:t>
      </w:r>
    </w:p>
    <w:p>
      <w:pPr>
        <w:spacing w:before="60" w:after="100"/>
      </w:pPr>
      <w:r>
        <w:rPr>
          <w:rFonts w:ascii="Arial" w:cs="Arial" w:eastAsia="Arial" w:hAnsi="Arial"/>
          <w:color w:val="2C2C2A"/>
          <w:sz w:val="22"/>
          <w:szCs w:val="22"/>
        </w:rPr>
        <w:t xml:space="preserve">Six Sigma provides organizational legitimacy. But the entry point for non-practitioners cannot be DPMO. The platform presents plain English labels as the primary language — the Sigma level and DPMO are always visible, but secondary. Same data, two audiences read what they need.</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2240"/>
        <w:gridCol w:w="5040"/>
      </w:tblGrid>
      <w:tr>
        <w:tc>
          <w:tcPr>
            <w:tcW w:type="dxa" w:w="1040"/>
            <w:tcBorders>
              <w:top w:val="single" w:color="AAAAAA" w:sz="1"/>
              <w:left w:val="single" w:color="AAAAAA" w:sz="1"/>
              <w:bottom w:val="single" w:color="AAAAAA" w:sz="1"/>
              <w:right w:val="single" w:color="AAAAAA" w:sz="1"/>
            </w:tcBorders>
            <w:shd w:fill="E8E6E0" w:val="clear"/>
            <w:tcMar>
              <w:top w:type="dxa" w:w="80"/>
              <w:left w:type="dxa" w:w="120"/>
              <w:bottom w:type="dxa" w:w="80"/>
              <w:right w:type="dxa" w:w="120"/>
            </w:tcMar>
          </w:tcPr>
          <w:p>
            <w:pPr>
              <w:jc w:val="center"/>
            </w:pPr>
            <w:r>
              <w:rPr>
                <w:rFonts w:ascii="Arial" w:cs="Arial" w:eastAsia="Arial" w:hAnsi="Arial"/>
                <w:b/>
                <w:bCs/>
                <w:color w:val="444441"/>
                <w:sz w:val="19"/>
                <w:szCs w:val="19"/>
              </w:rPr>
              <w:t xml:space="preserve">Level</w:t>
            </w:r>
          </w:p>
        </w:tc>
        <w:tc>
          <w:tcPr>
            <w:tcW w:type="dxa" w:w="1040"/>
            <w:tcBorders>
              <w:top w:val="single" w:color="AAAAAA" w:sz="1"/>
              <w:left w:val="single" w:color="AAAAAA" w:sz="1"/>
              <w:bottom w:val="single" w:color="AAAAAA" w:sz="1"/>
              <w:right w:val="single" w:color="AAAAAA" w:sz="1"/>
            </w:tcBorders>
            <w:shd w:fill="E8E6E0" w:val="clear"/>
            <w:tcMar>
              <w:top w:type="dxa" w:w="80"/>
              <w:left w:type="dxa" w:w="120"/>
              <w:bottom w:type="dxa" w:w="80"/>
              <w:right w:type="dxa" w:w="120"/>
            </w:tcMar>
          </w:tcPr>
          <w:p>
            <w:pPr>
              <w:jc w:val="center"/>
            </w:pPr>
            <w:r>
              <w:rPr>
                <w:rFonts w:ascii="Arial" w:cs="Arial" w:eastAsia="Arial" w:hAnsi="Arial"/>
                <w:b/>
                <w:bCs/>
                <w:color w:val="444441"/>
                <w:sz w:val="19"/>
                <w:szCs w:val="19"/>
              </w:rPr>
              <w:t xml:space="preserve">DPMO</w:t>
            </w:r>
          </w:p>
        </w:tc>
        <w:tc>
          <w:tcPr>
            <w:tcW w:type="dxa" w:w="2240"/>
            <w:tcBorders>
              <w:top w:val="single" w:color="AAAAAA" w:sz="1"/>
              <w:left w:val="single" w:color="AAAAAA" w:sz="1"/>
              <w:bottom w:val="single" w:color="AAAAAA" w:sz="1"/>
              <w:right w:val="single" w:color="AAAAAA"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Plain English Label</w:t>
            </w:r>
          </w:p>
        </w:tc>
        <w:tc>
          <w:tcPr>
            <w:tcW w:type="dxa" w:w="5040"/>
            <w:tcBorders>
              <w:top w:val="single" w:color="AAAAAA" w:sz="1"/>
              <w:left w:val="single" w:color="AAAAAA" w:sz="1"/>
              <w:bottom w:val="single" w:color="AAAAAA" w:sz="1"/>
              <w:right w:val="single" w:color="AAAAAA"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Recommended Action</w:t>
            </w:r>
          </w:p>
        </w:tc>
      </w:tr>
      <w:tr>
        <w:tc>
          <w:tcPr>
            <w:tcW w:type="dxa" w:w="10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2"/>
                <w:szCs w:val="22"/>
              </w:rPr>
              <w:t xml:space="preserve">1σ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691,462</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A32D2D"/>
                <w:sz w:val="20"/>
                <w:szCs w:val="20"/>
              </w:rPr>
              <w:t xml:space="preserve">Unreliable — do not deploy</w:t>
            </w:r>
          </w:p>
        </w:tc>
      </w:tr>
      <w:tr>
        <w:tc>
          <w:tcPr>
            <w:tcW w:type="dxa" w:w="10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2σ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308,538</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993C1D"/>
                <w:sz w:val="20"/>
                <w:szCs w:val="20"/>
              </w:rPr>
              <w:t xml:space="preserve">High risk — human gate mandatory</w:t>
            </w:r>
          </w:p>
        </w:tc>
      </w:tr>
      <w:tr>
        <w:tc>
          <w:tcPr>
            <w:tcW w:type="dxa" w:w="1040"/>
            <w:tcBorders>
              <w:top w:val="single" w:color="CCCCCC" w:sz="1"/>
              <w:left w:val="single" w:color="CCCCCC" w:sz="1"/>
              <w:bottom w:val="single" w:color="CCCCCC" w:sz="1"/>
              <w:right w:val="single" w:color="CCCCCC" w:sz="1"/>
            </w:tcBorders>
            <w:shd w:fill="FDE9C0" w:val="clear"/>
            <w:tcMar>
              <w:top w:type="dxa" w:w="80"/>
              <w:left w:type="dxa" w:w="120"/>
              <w:bottom w:type="dxa" w:w="80"/>
              <w:right w:type="dxa" w:w="120"/>
            </w:tcMar>
          </w:tcPr>
          <w:p>
            <w:pPr>
              <w:jc w:val="center"/>
            </w:pPr>
            <w:r>
              <w:rPr>
                <w:rFonts w:ascii="Arial" w:cs="Arial" w:eastAsia="Arial" w:hAnsi="Arial"/>
                <w:b/>
                <w:bCs/>
                <w:color w:val="854F0B"/>
                <w:sz w:val="22"/>
                <w:szCs w:val="22"/>
              </w:rPr>
              <w:t xml:space="preserve">3σ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66,807</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854F0B"/>
                <w:sz w:val="20"/>
                <w:szCs w:val="20"/>
              </w:rPr>
              <w:t xml:space="preserve">Needs tuning — supervised use only</w:t>
            </w:r>
          </w:p>
        </w:tc>
      </w:tr>
      <w:tr>
        <w:tc>
          <w:tcPr>
            <w:tcW w:type="dxa" w:w="1040"/>
            <w:tcBorders>
              <w:top w:val="single" w:color="CCCCCC" w:sz="1"/>
              <w:left w:val="single" w:color="CCCCCC" w:sz="1"/>
              <w:bottom w:val="single" w:color="CCCCCC" w:sz="1"/>
              <w:right w:val="single" w:color="CCCCCC" w:sz="1"/>
            </w:tcBorders>
            <w:shd w:fill="DFF0C8" w:val="clear"/>
            <w:tcMar>
              <w:top w:type="dxa" w:w="80"/>
              <w:left w:type="dxa" w:w="120"/>
              <w:bottom w:type="dxa" w:w="80"/>
              <w:right w:type="dxa" w:w="120"/>
            </w:tcMar>
          </w:tcPr>
          <w:p>
            <w:pPr>
              <w:jc w:val="center"/>
            </w:pPr>
            <w:r>
              <w:rPr>
                <w:rFonts w:ascii="Arial" w:cs="Arial" w:eastAsia="Arial" w:hAnsi="Arial"/>
                <w:b/>
                <w:bCs/>
                <w:color w:val="3B6D11"/>
                <w:sz w:val="22"/>
                <w:szCs w:val="22"/>
              </w:rPr>
              <w:t xml:space="preserve">4σ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6,210</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3B6D11"/>
                <w:sz w:val="20"/>
                <w:szCs w:val="20"/>
              </w:rPr>
              <w:t xml:space="preserve">Supervised production — monitor closely</w:t>
            </w:r>
          </w:p>
        </w:tc>
      </w:tr>
      <w:tr>
        <w:tc>
          <w:tcPr>
            <w:tcW w:type="dxa" w:w="1040"/>
            <w:tcBorders>
              <w:top w:val="single" w:color="CCCCCC" w:sz="1"/>
              <w:left w:val="single" w:color="CCCCCC" w:sz="1"/>
              <w:bottom w:val="single" w:color="CCCCCC" w:sz="1"/>
              <w:right w:val="single" w:color="CCCCCC" w:sz="1"/>
            </w:tcBorders>
            <w:shd w:fill="D5EFE6" w:val="clear"/>
            <w:tcMar>
              <w:top w:type="dxa" w:w="80"/>
              <w:left w:type="dxa" w:w="120"/>
              <w:bottom w:type="dxa" w:w="80"/>
              <w:right w:type="dxa" w:w="120"/>
            </w:tcMar>
          </w:tcPr>
          <w:p>
            <w:pPr>
              <w:jc w:val="center"/>
            </w:pPr>
            <w:r>
              <w:rPr>
                <w:rFonts w:ascii="Arial" w:cs="Arial" w:eastAsia="Arial" w:hAnsi="Arial"/>
                <w:b/>
                <w:bCs/>
                <w:color w:val="0F6E56"/>
                <w:sz w:val="22"/>
                <w:szCs w:val="22"/>
              </w:rPr>
              <w:t xml:space="preserve">5σ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233</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0F6E56"/>
                <w:sz w:val="20"/>
                <w:szCs w:val="20"/>
              </w:rPr>
              <w:t xml:space="preserve">Production ready — standard monitoring</w:t>
            </w:r>
          </w:p>
        </w:tc>
      </w:tr>
      <w:tr>
        <w:tc>
          <w:tcPr>
            <w:tcW w:type="dxa" w:w="10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85FA5"/>
                <w:sz w:val="22"/>
                <w:szCs w:val="22"/>
              </w:rPr>
              <w:t xml:space="preserve">6σ</w:t>
            </w:r>
          </w:p>
        </w:tc>
        <w:tc>
          <w:tcPr>
            <w:tcW w:type="dxa" w:w="2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center"/>
            </w:pPr>
            <w:r>
              <w:rPr>
                <w:rFonts w:ascii="Arial" w:cs="Arial" w:eastAsia="Arial" w:hAnsi="Arial"/>
                <w:color w:val="444441"/>
                <w:sz w:val="20"/>
                <w:szCs w:val="20"/>
              </w:rPr>
              <w:t xml:space="preserve">3.4</w:t>
            </w:r>
          </w:p>
        </w:tc>
        <w:tc>
          <w:tcPr>
            <w:tcW w:type="dxa" w:w="624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185FA5"/>
                <w:sz w:val="20"/>
                <w:szCs w:val="20"/>
              </w:rPr>
              <w:t xml:space="preserve">Autonomous — minimal human oversight</w:t>
            </w:r>
          </w:p>
        </w:tc>
      </w:tr>
    </w:tbl>
    <w:p>
      <w:pPr>
        <w:spacing w:before="160" w:after="80"/>
      </w:pPr>
    </w:p>
    <w:p>
      <w:pPr>
        <w:pStyle w:val="Heading2"/>
        <w:spacing w:before="280" w:after="100"/>
      </w:pPr>
      <w:r>
        <w:rPr>
          <w:rFonts w:ascii="Arial" w:cs="Arial" w:eastAsia="Arial" w:hAnsi="Arial"/>
          <w:b/>
          <w:bCs/>
          <w:color w:val="444441"/>
          <w:sz w:val="22"/>
          <w:szCs w:val="22"/>
        </w:rPr>
        <w:t xml:space="preserve">Defect Type Weighting</w:t>
      </w:r>
    </w:p>
    <w:p>
      <w:pPr>
        <w:spacing w:before="60" w:after="100"/>
      </w:pPr>
      <w:r>
        <w:rPr>
          <w:rFonts w:ascii="Arial" w:cs="Arial" w:eastAsia="Arial" w:hAnsi="Arial"/>
          <w:color w:val="2C2C2A"/>
          <w:sz w:val="22"/>
          <w:szCs w:val="22"/>
        </w:rPr>
        <w:t xml:space="preserve">Three defect types contribute to the composite DPMO. Each is weighted to reflect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Defect Type</w:t>
            </w:r>
          </w:p>
        </w:tc>
        <w:tc>
          <w:tcPr>
            <w:tcW w:type="dxa" w:w="180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Weight</w:t>
            </w:r>
          </w:p>
        </w:tc>
        <w:tc>
          <w:tcPr>
            <w:tcW w:type="dxa" w:w="516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3C1D"/>
                <w:sz w:val="20"/>
                <w:szCs w:val="20"/>
              </w:rPr>
              <w:t xml:space="preserve">Task failure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High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Langfuse success/fail flag per trace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Latency breach (P90 &gt; SLA)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Medium (0.6×)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Span tree timing in Langfuse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Cost overrun vs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Low (0.4×)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Token spend vs budget in Langfuse economics</w:t>
            </w:r>
          </w:p>
        </w:tc>
      </w:tr>
    </w:tbl>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4. O*NET Connection — Human Labor to ROI</w:t>
      </w:r>
    </w:p>
    <w:p>
      <w:pPr>
        <w:spacing w:before="60" w:after="100"/>
      </w:pPr>
      <w:r>
        <w:rPr>
          <w:rFonts w:ascii="Arial" w:cs="Arial" w:eastAsia="Arial" w:hAnsi="Arial"/>
          <w:color w:val="2C2C2A"/>
          <w:sz w:val="22"/>
          <w:szCs w:val="22"/>
        </w:rPr>
        <w:t xml:space="preserve">O*NET is the connective tissue that ties all three of Les's asks together. It doesn't just list job titles — for every occupation it provides tasks with time weights, skills, and automation susceptibility scores. This means the human side of the equation is not invented; it is traceable to a US government public database.</w:t>
      </w:r>
    </w:p>
    <w:p>
      <w:pPr>
        <w:pStyle w:val="Heading2"/>
        <w:spacing w:before="280" w:after="100"/>
      </w:pPr>
      <w:r>
        <w:rPr>
          <w:rFonts w:ascii="Arial" w:cs="Arial" w:eastAsia="Arial" w:hAnsi="Arial"/>
          <w:b/>
          <w:bCs/>
          <w:color w:val="444441"/>
          <w:sz w:val="22"/>
          <w:szCs w:val="22"/>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0"/>
        <w:gridCol w:w="1760"/>
        <w:gridCol w:w="200"/>
        <w:gridCol w:w="1760"/>
        <w:gridCol w:w="200"/>
        <w:gridCol w:w="1760"/>
        <w:gridCol w:w="200"/>
        <w:gridCol w:w="1520"/>
      </w:tblGrid>
      <w:tr>
        <w:tc>
          <w:tcPr>
            <w:tcW w:type="dxa" w:w="1760"/>
            <w:tcBorders>
              <w:top w:val="single" w:color="0F6E56" w:sz="1"/>
              <w:left w:val="single" w:color="0F6E56" w:sz="1"/>
              <w:bottom w:val="single" w:color="0F6E56" w:sz="1"/>
              <w:right w:val="single" w:color="0F6E56" w:sz="1"/>
            </w:tcBorders>
            <w:shd w:fill="D5EFE6" w:val="clear"/>
            <w:tcMar>
              <w:top w:type="dxa" w:w="100"/>
              <w:left w:type="dxa" w:w="120"/>
              <w:bottom w:type="dxa" w:w="100"/>
              <w:right w:type="dxa" w:w="120"/>
            </w:tcMar>
          </w:tcPr>
          <w:p>
            <w:pPr>
              <w:jc w:val="center"/>
            </w:pPr>
            <w:r>
              <w:rPr>
                <w:rFonts w:ascii="Arial" w:cs="Arial" w:eastAsia="Arial" w:hAnsi="Arial"/>
                <w:b/>
                <w:bCs/>
                <w:color w:val="0F6E56"/>
                <w:sz w:val="20"/>
                <w:szCs w:val="20"/>
              </w:rPr>
              <w:t xml:space="preserve">O*NET API</w:t>
            </w:r>
          </w:p>
          <w:p>
            <w:pPr>
              <w:jc w:val="center"/>
            </w:pPr>
            <w:r>
              <w:rPr>
                <w:rFonts w:ascii="Arial" w:cs="Arial" w:eastAsia="Arial" w:hAnsi="Arial"/>
                <w:color w:val="444441"/>
                <w:sz w:val="17"/>
                <w:szCs w:val="17"/>
              </w:rPr>
              <w:t xml:space="preserve">Task list + time weights + automation score</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888780"/>
                <w:sz w:val="22"/>
                <w:szCs w:val="22"/>
              </w:rPr>
              <w:t xml:space="preserve">→</w:t>
            </w:r>
          </w:p>
        </w:tc>
        <w:tc>
          <w:tcPr>
            <w:tcW w:type="dxa" w:w="1760"/>
            <w:tcBorders>
              <w:top w:val="single" w:color="3B6D11" w:sz="1"/>
              <w:left w:val="single" w:color="3B6D11" w:sz="1"/>
              <w:bottom w:val="single" w:color="3B6D11" w:sz="1"/>
              <w:right w:val="single" w:color="3B6D11" w:sz="1"/>
            </w:tcBorders>
            <w:shd w:fill="DFF0C8" w:val="clear"/>
            <w:tcMar>
              <w:top w:type="dxa" w:w="100"/>
              <w:left w:type="dxa" w:w="120"/>
              <w:bottom w:type="dxa" w:w="100"/>
              <w:right w:type="dxa" w:w="120"/>
            </w:tcMar>
          </w:tcPr>
          <w:p>
            <w:pPr>
              <w:jc w:val="center"/>
            </w:pPr>
            <w:r>
              <w:rPr>
                <w:rFonts w:ascii="Arial" w:cs="Arial" w:eastAsia="Arial" w:hAnsi="Arial"/>
                <w:b/>
                <w:bCs/>
                <w:color w:val="3B6D11"/>
                <w:sz w:val="20"/>
                <w:szCs w:val="20"/>
              </w:rPr>
              <w:t xml:space="preserve">Coverage mapper</w:t>
            </w:r>
          </w:p>
          <w:p>
            <w:pPr>
              <w:jc w:val="center"/>
            </w:pPr>
            <w:r>
              <w:rPr>
                <w:rFonts w:ascii="Arial" w:cs="Arial" w:eastAsia="Arial" w:hAnsi="Arial"/>
                <w:color w:val="444441"/>
                <w:sz w:val="17"/>
                <w:szCs w:val="17"/>
              </w:rPr>
              <w:t xml:space="preserve">Agent / collaborative / human per task</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888780"/>
                <w:sz w:val="22"/>
                <w:szCs w:val="22"/>
              </w:rPr>
              <w:t xml:space="preserve">→</w:t>
            </w:r>
          </w:p>
        </w:tc>
        <w:tc>
          <w:tcPr>
            <w:tcW w:type="dxa" w:w="1760"/>
            <w:tcBorders>
              <w:top w:val="single" w:color="854F0B" w:sz="1"/>
              <w:left w:val="single" w:color="854F0B" w:sz="1"/>
              <w:bottom w:val="single" w:color="854F0B" w:sz="1"/>
              <w:right w:val="single" w:color="854F0B" w:sz="1"/>
            </w:tcBorders>
            <w:shd w:fill="FDE9C0" w:val="clear"/>
            <w:tcMar>
              <w:top w:type="dxa" w:w="100"/>
              <w:left w:type="dxa" w:w="120"/>
              <w:bottom w:type="dxa" w:w="100"/>
              <w:right w:type="dxa" w:w="120"/>
            </w:tcMar>
          </w:tcPr>
          <w:p>
            <w:pPr>
              <w:jc w:val="center"/>
            </w:pPr>
            <w:r>
              <w:rPr>
                <w:rFonts w:ascii="Arial" w:cs="Arial" w:eastAsia="Arial" w:hAnsi="Arial"/>
                <w:b/>
                <w:bCs/>
                <w:color w:val="854F0B"/>
                <w:sz w:val="20"/>
                <w:szCs w:val="20"/>
              </w:rPr>
              <w:t xml:space="preserve">BLS wage data</w:t>
            </w:r>
          </w:p>
          <w:p>
            <w:pPr>
              <w:jc w:val="center"/>
            </w:pPr>
            <w:r>
              <w:rPr>
                <w:rFonts w:ascii="Arial" w:cs="Arial" w:eastAsia="Arial" w:hAnsi="Arial"/>
                <w:color w:val="444441"/>
                <w:sz w:val="17"/>
                <w:szCs w:val="17"/>
              </w:rPr>
              <w:t xml:space="preserve">Hourly cost of human per task (public)</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888780"/>
                <w:sz w:val="22"/>
                <w:szCs w:val="22"/>
              </w:rPr>
              <w:t xml:space="preserve">→</w:t>
            </w:r>
          </w:p>
        </w:tc>
        <w:tc>
          <w:tcPr>
            <w:tcW w:type="dxa" w:w="1760"/>
            <w:tcBorders>
              <w:top w:val="single" w:color="1F5FA6" w:sz="1"/>
              <w:left w:val="single" w:color="1F5FA6" w:sz="1"/>
              <w:bottom w:val="single" w:color="1F5FA6" w:sz="1"/>
              <w:right w:val="single" w:color="1F5FA6" w:sz="1"/>
            </w:tcBorders>
            <w:shd w:fill="D6E8F7" w:val="clear"/>
            <w:tcMar>
              <w:top w:type="dxa" w:w="100"/>
              <w:left w:type="dxa" w:w="120"/>
              <w:bottom w:type="dxa" w:w="100"/>
              <w:right w:type="dxa" w:w="120"/>
            </w:tcMar>
          </w:tcPr>
          <w:p>
            <w:pPr>
              <w:jc w:val="center"/>
            </w:pPr>
            <w:r>
              <w:rPr>
                <w:rFonts w:ascii="Arial" w:cs="Arial" w:eastAsia="Arial" w:hAnsi="Arial"/>
                <w:b/>
                <w:bCs/>
                <w:color w:val="1F5FA6"/>
                <w:sz w:val="20"/>
                <w:szCs w:val="20"/>
              </w:rPr>
              <w:t xml:space="preserve">Langfuse telemetry</w:t>
            </w:r>
          </w:p>
          <w:p>
            <w:pPr>
              <w:jc w:val="center"/>
            </w:pPr>
            <w:r>
              <w:rPr>
                <w:rFonts w:ascii="Arial" w:cs="Arial" w:eastAsia="Arial" w:hAnsi="Arial"/>
                <w:color w:val="444441"/>
                <w:sz w:val="17"/>
                <w:szCs w:val="17"/>
              </w:rPr>
              <w:t xml:space="preserve">Agent cost + latency + success rate</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888780"/>
                <w:sz w:val="22"/>
                <w:szCs w:val="22"/>
              </w:rPr>
              <w:t xml:space="preserve">→</w:t>
            </w:r>
          </w:p>
        </w:tc>
        <w:tc>
          <w:tcPr>
            <w:tcW w:type="dxa" w:w="1520"/>
            <w:tcBorders>
              <w:top w:val="single" w:color="534AB7" w:sz="1"/>
              <w:left w:val="single" w:color="534AB7" w:sz="1"/>
              <w:bottom w:val="single" w:color="534AB7" w:sz="1"/>
              <w:right w:val="single" w:color="534AB7" w:sz="1"/>
            </w:tcBorders>
            <w:shd w:fill="E8E7FC" w:val="clear"/>
            <w:tcMar>
              <w:top w:type="dxa" w:w="100"/>
              <w:left w:type="dxa" w:w="120"/>
              <w:bottom w:type="dxa" w:w="100"/>
              <w:right w:type="dxa" w:w="120"/>
            </w:tcMar>
          </w:tcPr>
          <w:p>
            <w:pPr>
              <w:jc w:val="center"/>
            </w:pPr>
            <w:r>
              <w:rPr>
                <w:rFonts w:ascii="Arial" w:cs="Arial" w:eastAsia="Arial" w:hAnsi="Arial"/>
                <w:b/>
                <w:bCs/>
                <w:color w:val="534AB7"/>
                <w:sz w:val="20"/>
                <w:szCs w:val="20"/>
              </w:rPr>
              <w:t xml:space="preserve">Symmetry equation</w:t>
            </w:r>
          </w:p>
          <w:p>
            <w:pPr>
              <w:jc w:val="center"/>
            </w:pPr>
            <w:r>
              <w:rPr>
                <w:rFonts w:ascii="Arial" w:cs="Arial" w:eastAsia="Arial" w:hAnsi="Arial"/>
                <w:color w:val="444441"/>
                <w:sz w:val="17"/>
                <w:szCs w:val="17"/>
              </w:rPr>
              <w:t xml:space="preserve">Net ROI, honest and auditable</w:t>
            </w:r>
          </w:p>
        </w:tc>
      </w:tr>
    </w:tbl>
    <w:p>
      <w:pPr>
        <w:spacing w:before="160" w:after="80"/>
      </w:pPr>
    </w:p>
    <w:p>
      <w:pPr>
        <w:pStyle w:val="Heading2"/>
        <w:spacing w:before="280" w:after="100"/>
      </w:pPr>
      <w:r>
        <w:rPr>
          <w:rFonts w:ascii="Arial" w:cs="Arial" w:eastAsia="Arial" w:hAnsi="Arial"/>
          <w:b/>
          <w:bCs/>
          <w:color w:val="444441"/>
          <w:sz w:val="22"/>
          <w:szCs w:val="22"/>
        </w:rPr>
        <w:t xml:space="preserve">Three O*NET Connection Points</w:t>
      </w:r>
    </w:p>
    <w:p>
      <w:pPr>
        <w:pStyle w:val="ListParagraph"/>
        <w:numPr>
          <w:ilvl w:val="0"/>
          <w:numId w:val="2"/>
        </w:numPr>
        <w:spacing w:before="40" w:after="60"/>
      </w:pPr>
      <w:r>
        <w:rPr>
          <w:rFonts w:ascii="Arial" w:cs="Arial" w:eastAsia="Arial" w:hAnsi="Arial"/>
          <w:color w:val="2C2C2A"/>
          <w:sz w:val="22"/>
          <w:szCs w:val="22"/>
        </w:rPr>
        <w:t xml:space="preserve">Connection to Labor Graph — Pull O*NET task list for target occupation. Each task gets one of three states: Agent Owned, Collaborative (agent does, human approves), or Human Retained. The before/after labor graph is this task list reshuffled between those three buckets as agent quality improves.</w:t>
      </w:r>
    </w:p>
    <w:p>
      <w:pPr>
        <w:pStyle w:val="ListParagraph"/>
        <w:numPr>
          <w:ilvl w:val="0"/>
          <w:numId w:val="2"/>
        </w:numPr>
        <w:spacing w:before="40" w:after="60"/>
      </w:pPr>
      <w:r>
        <w:rPr>
          <w:rFonts w:ascii="Arial" w:cs="Arial" w:eastAsia="Arial" w:hAnsi="Arial"/>
          <w:color w:val="2C2C2A"/>
          <w:sz w:val="22"/>
          <w:szCs w:val="22"/>
        </w:rPr>
        <w:t xml:space="preserve">Connection to Symmetry Equation — O*NET has time allocation weights per task. When a task moves from human to agent, you calculate hours freed (O*NET time weight × BLS wage) minus agent cost (Langfuse telemetry) minus oversight overhead. This is the honest ROI correction: 23-25% gross saving corrected to ~10% net.</w:t>
      </w:r>
    </w:p>
    <w:p>
      <w:pPr>
        <w:pStyle w:val="ListParagraph"/>
        <w:numPr>
          <w:ilvl w:val="0"/>
          <w:numId w:val="2"/>
        </w:numPr>
        <w:spacing w:before="40" w:after="60"/>
      </w:pPr>
      <w:r>
        <w:rPr>
          <w:rFonts w:ascii="Arial" w:cs="Arial" w:eastAsia="Arial" w:hAnsi="Arial"/>
          <w:color w:val="2C2C2A"/>
          <w:sz w:val="22"/>
          <w:szCs w:val="22"/>
        </w:rPr>
        <w:t xml:space="preserve">Connection to Governance Audit Trail — O*NET's collaborative tasks map directly to the EU AI Act's human oversight requirement. Every task in the collaborative bucket needs an audit log entry: who reviewed, what they decided, how long it took, what % of decisions they overrode. This turns compliance into a measurable process metric.</w:t>
      </w:r>
    </w:p>
    <w:p>
      <w:pPr>
        <w:pStyle w:val="Heading2"/>
        <w:spacing w:before="280" w:after="100"/>
      </w:pPr>
      <w:r>
        <w:rPr>
          <w:rFonts w:ascii="Arial" w:cs="Arial" w:eastAsia="Arial" w:hAnsi="Arial"/>
          <w:b/>
          <w:bCs/>
          <w:color w:val="444441"/>
          <w:sz w:val="22"/>
          <w:szCs w:val="22"/>
        </w:rPr>
        <w:t xml:space="preserve">Worked ROI Example</w:t>
      </w:r>
    </w:p>
    <w:p>
      <w:pPr>
        <w:pBdr>
          <w:left w:val="single" w:color="3B6D11" w:sz="16" w:space="8"/>
        </w:pBdr>
        <w:shd w:fill="DFF0C8" w:val="clear"/>
        <w:spacing w:before="120" w:after="120"/>
        <w:ind w:left="360"/>
      </w:pPr>
      <w:r>
        <w:rPr>
          <w:rFonts w:ascii="Arial" w:cs="Arial" w:eastAsia="Arial" w:hAnsi="Arial"/>
          <w:i/>
          <w:iCs/>
          <w:color w:val="2C2C2A"/>
          <w:sz w:val="21"/>
          <w:szCs w:val="21"/>
        </w:rPr>
        <w:t xml:space="preserve">Occupation: Sports Betting Analyst | O*NET returns: 23 tasks, avg 40hrs/week, $42/hr BLS wage | Agent covers: 8 of 23 tasks at 3.8σ quality | Those 8 tasks = 35% of weekly time = 14hrs = $588/week/person | Agent cost for same tasks = $0.022 per run × 200 runs/week = $4.40 | Gross saving = $583.60/week/person | Minus oversight: 2hrs/week human validation = $84 | Minus governance overhead: 0.5hrs = $21 | NET SAVING = $478.60/week/person</w:t>
      </w:r>
    </w:p>
    <w:p>
      <w:pPr>
        <w:spacing w:before="60" w:after="100"/>
      </w:pPr>
      <w:r>
        <w:rPr>
          <w:rFonts w:ascii="Arial" w:cs="Arial" w:eastAsia="Arial" w:hAnsi="Arial"/>
          <w:i/>
          <w:iCs/>
          <w:color w:val="444441"/>
          <w:sz w:val="22"/>
          <w:szCs w:val="22"/>
        </w:rPr>
        <w:t xml:space="preserve">This is a credible, auditable number. Not 83,000% ROI. A CFO-defensible figure with every assumption visible and traceable to public data sources.</w:t>
      </w:r>
    </w:p>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5. Application Screens</w:t>
      </w:r>
    </w:p>
    <w:p>
      <w:pPr>
        <w:spacing w:before="60" w:after="100"/>
      </w:pPr>
      <w:r>
        <w:rPr>
          <w:rFonts w:ascii="Arial" w:cs="Arial" w:eastAsia="Arial" w:hAnsi="Arial"/>
          <w:color w:val="2C2C2A"/>
          <w:sz w:val="22"/>
          <w:szCs w:val="22"/>
        </w:rPr>
        <w:t xml:space="preserve">The platform has five screens. Three are required for April 7. Two are the follow-on roadmap conversation with Les.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4800"/>
        <w:gridCol w:w="1800"/>
      </w:tblGrid>
      <w:tr>
        <w:tc>
          <w:tcPr>
            <w:tcW w:type="dxa" w:w="60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w:t>
            </w:r>
          </w:p>
        </w:tc>
        <w:tc>
          <w:tcPr>
            <w:tcW w:type="dxa" w:w="216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Screen</w:t>
            </w:r>
          </w:p>
        </w:tc>
        <w:tc>
          <w:tcPr>
            <w:tcW w:type="dxa" w:w="480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What it shows</w:t>
            </w:r>
          </w:p>
        </w:tc>
        <w:tc>
          <w:tcPr>
            <w:tcW w:type="dxa" w:w="1800"/>
            <w:tcBorders>
              <w:top w:val="single" w:color="CCCCCC" w:sz="1"/>
              <w:left w:val="single" w:color="CCCCCC" w:sz="1"/>
              <w:bottom w:val="single" w:color="CCCCCC" w:sz="1"/>
              <w:right w:val="single" w:color="CCCCCC" w:sz="1"/>
            </w:tcBorders>
            <w:shd w:fill="E8E6E0" w:val="clear"/>
            <w:tcMar>
              <w:top w:type="dxa" w:w="80"/>
              <w:left w:type="dxa" w:w="120"/>
              <w:bottom w:type="dxa" w:w="80"/>
              <w:right w:type="dxa" w:w="120"/>
            </w:tcMar>
          </w:tcPr>
          <w:p>
            <w:r>
              <w:rPr>
                <w:rFonts w:ascii="Arial" w:cs="Arial" w:eastAsia="Arial" w:hAnsi="Arial"/>
                <w:b/>
                <w:bCs/>
                <w:color w:val="444441"/>
                <w:sz w:val="19"/>
                <w:szCs w:val="19"/>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3C1D"/>
                <w:sz w:val="22"/>
                <w:szCs w:val="22"/>
              </w:rPr>
              <w:t xml:space="preserve">01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Process setup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User selects O*NET occupation. App pulls task list. User maps their agents to tasks. Sets quality benchmark and industry (OEE vs SERVQUAL toggle). 5-min config that powers everything else.</w:t>
            </w:r>
          </w:p>
        </w:tc>
        <w:tc>
          <w:tcPr>
            <w:tcW w:type="dxa" w:w="1800"/>
            <w:tcBorders>
              <w:top w:val="single" w:color="CCCCCC" w:sz="1"/>
              <w:left w:val="single" w:color="CCCCCC" w:sz="1"/>
              <w:bottom w:val="single" w:color="CCCCCC" w:sz="1"/>
              <w:right w:val="single" w:color="CCCCCC" w:sz="1"/>
            </w:tcBorders>
            <w:shd w:fill="D5EFE6" w:val="clear"/>
            <w:tcMar>
              <w:top w:type="dxa" w:w="80"/>
              <w:left w:type="dxa" w:w="120"/>
              <w:bottom w:type="dxa" w:w="80"/>
              <w:right w:type="dxa" w:w="120"/>
            </w:tcMar>
          </w:tcPr>
          <w:p>
            <w:r>
              <w:rPr>
                <w:rFonts w:ascii="Arial" w:cs="Arial" w:eastAsia="Arial" w:hAnsi="Arial"/>
                <w:b w:val="false"/>
                <w:bCs w:val="false"/>
                <w:color w:val="0F6E56"/>
                <w:sz w:val="19"/>
                <w:szCs w:val="19"/>
              </w:rPr>
              <w:t xml:space="preserve">April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4F0B"/>
                <w:sz w:val="22"/>
                <w:szCs w:val="22"/>
              </w:rPr>
              <w:t xml:space="preserve">02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Coverage map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All O*NET tasks for that occupation, color-coded by owner — Agent, Collaborative, or Human Retained. Before/after Sankey diagram showing task migration as maturity improves. Clicking a task shows Langfuse trace data.</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val="false"/>
                <w:bCs w:val="false"/>
                <w:color w:val="888780"/>
                <w:sz w:val="19"/>
                <w:szCs w:val="19"/>
              </w:rPr>
              <w:t xml:space="preserve">Phase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534AB7"/>
                <w:sz w:val="22"/>
                <w:szCs w:val="22"/>
              </w:rPr>
              <w:t xml:space="preserve">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Symmetry dashboard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The north star screen Les asked for. Split view: Agent side (coverage %, quality score, cost) + Human side (residual tasks, hours, skills, cost) + The equation at center. Total process ROI with humans in loop.</w:t>
            </w:r>
          </w:p>
        </w:tc>
        <w:tc>
          <w:tcPr>
            <w:tcW w:type="dxa" w:w="1800"/>
            <w:tcBorders>
              <w:top w:val="single" w:color="CCCCCC" w:sz="1"/>
              <w:left w:val="single" w:color="CCCCCC" w:sz="1"/>
              <w:bottom w:val="single" w:color="CCCCCC" w:sz="1"/>
              <w:right w:val="single" w:color="CCCCCC" w:sz="1"/>
            </w:tcBorders>
            <w:shd w:fill="E8E7FC" w:val="clear"/>
            <w:tcMar>
              <w:top w:type="dxa" w:w="80"/>
              <w:left w:type="dxa" w:w="120"/>
              <w:bottom w:type="dxa" w:w="80"/>
              <w:right w:type="dxa" w:w="120"/>
            </w:tcMar>
          </w:tcPr>
          <w:p>
            <w:r>
              <w:rPr>
                <w:rFonts w:ascii="Arial" w:cs="Arial" w:eastAsia="Arial" w:hAnsi="Arial"/>
                <w:b/>
                <w:bCs/>
                <w:color w:val="534AB7"/>
                <w:sz w:val="19"/>
                <w:szCs w:val="19"/>
              </w:rPr>
              <w:t xml:space="preserve">April 7 — hero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F5FA6"/>
                <w:sz w:val="22"/>
                <w:szCs w:val="22"/>
              </w:rPr>
              <w:t xml:space="preserve">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Transformation roadmap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What happens to the coverage map if agent quality improves from current Sigma to target Sigma. Which tasks migrate from human to collaborative to autonomous. ROI at each maturity stage. The target state conversation.</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val="false"/>
                <w:bCs w:val="false"/>
                <w:color w:val="888780"/>
                <w:sz w:val="19"/>
                <w:szCs w:val="19"/>
              </w:rPr>
              <w:t xml:space="preserve">Phase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22"/>
                <w:szCs w:val="22"/>
              </w:rPr>
              <w:t xml:space="preserve">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Governance audit log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Every collaborative task decision logged. Agent recommendation shown alongside human decision. Override rate, decision latency, EU AI Act export. ISO 42001 compliance score. Exportable for audit.</w:t>
            </w:r>
          </w:p>
        </w:tc>
        <w:tc>
          <w:tcPr>
            <w:tcW w:type="dxa" w:w="1800"/>
            <w:tcBorders>
              <w:top w:val="single" w:color="CCCCCC" w:sz="1"/>
              <w:left w:val="single" w:color="CCCCCC" w:sz="1"/>
              <w:bottom w:val="single" w:color="CCCCCC" w:sz="1"/>
              <w:right w:val="single" w:color="CCCCCC" w:sz="1"/>
            </w:tcBorders>
            <w:shd w:fill="D5EFE6" w:val="clear"/>
            <w:tcMar>
              <w:top w:type="dxa" w:w="80"/>
              <w:left w:type="dxa" w:w="120"/>
              <w:bottom w:type="dxa" w:w="80"/>
              <w:right w:type="dxa" w:w="120"/>
            </w:tcMar>
          </w:tcPr>
          <w:p>
            <w:r>
              <w:rPr>
                <w:rFonts w:ascii="Arial" w:cs="Arial" w:eastAsia="Arial" w:hAnsi="Arial"/>
                <w:b w:val="false"/>
                <w:bCs w:val="false"/>
                <w:color w:val="0F6E56"/>
                <w:sz w:val="19"/>
                <w:szCs w:val="19"/>
              </w:rPr>
              <w:t xml:space="preserve">April 7 — static</w:t>
            </w:r>
          </w:p>
        </w:tc>
      </w:tr>
    </w:tbl>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6. Open Questions Before Build</w:t>
      </w:r>
    </w:p>
    <w:p>
      <w:pPr>
        <w:spacing w:before="60" w:after="100"/>
      </w:pPr>
      <w:r>
        <w:rPr>
          <w:rFonts w:ascii="Arial" w:cs="Arial" w:eastAsia="Arial" w:hAnsi="Arial"/>
          <w:color w:val="2C2C2A"/>
          <w:sz w:val="22"/>
          <w:szCs w:val="22"/>
        </w:rPr>
        <w:t xml:space="preserve">Four decisions needed before the Claude Code prompt is written. Each one has architecture implications.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DDDDDD" w:sz="1"/>
              <w:left w:val="single" w:color="DDDDDD" w:sz="1"/>
              <w:bottom w:val="single" w:color="DDDDDD" w:sz="1"/>
              <w:right w:val="single" w:color="DDDDDD" w:sz="1"/>
            </w:tcBorders>
            <w:shd w:fill="D6E8F7" w:val="clear"/>
            <w:tcMar>
              <w:top w:type="dxa" w:w="80"/>
              <w:left w:type="dxa" w:w="160"/>
              <w:bottom w:type="dxa" w:w="80"/>
              <w:right w:type="dxa" w:w="120"/>
            </w:tcMar>
          </w:tcPr>
          <w:p>
            <w:r>
              <w:rPr>
                <w:rFonts w:ascii="Arial" w:cs="Arial" w:eastAsia="Arial" w:hAnsi="Arial"/>
                <w:b/>
                <w:bCs/>
                <w:color w:val="1F5FA6"/>
                <w:sz w:val="20"/>
                <w:szCs w:val="20"/>
              </w:rPr>
              <w:t xml:space="preserve">Langfuse connection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2C2C2A"/>
                <w:sz w:val="20"/>
                <w:szCs w:val="20"/>
              </w:rPr>
              <w:t xml:space="preserve">Direct API read or pre-processed batch? Real-time vs batch affects the proxy latency question raised in the call. Direct is more impressive; batch is more stable for April 7.</w:t>
            </w:r>
          </w:p>
        </w:tc>
      </w:tr>
      <w:tr>
        <w:tc>
          <w:tcPr>
            <w:tcW w:type="dxa" w:w="2800"/>
            <w:tcBorders>
              <w:top w:val="single" w:color="DDDDDD" w:sz="1"/>
              <w:left w:val="single" w:color="DDDDDD" w:sz="1"/>
              <w:bottom w:val="single" w:color="DDDDDD" w:sz="1"/>
              <w:right w:val="single" w:color="DDDDDD" w:sz="1"/>
            </w:tcBorders>
            <w:shd w:fill="D5EFE6" w:val="clear"/>
            <w:tcMar>
              <w:top w:type="dxa" w:w="80"/>
              <w:left w:type="dxa" w:w="160"/>
              <w:bottom w:type="dxa" w:w="80"/>
              <w:right w:type="dxa" w:w="120"/>
            </w:tcMar>
          </w:tcPr>
          <w:p>
            <w:r>
              <w:rPr>
                <w:rFonts w:ascii="Arial" w:cs="Arial" w:eastAsia="Arial" w:hAnsi="Arial"/>
                <w:b/>
                <w:bCs/>
                <w:color w:val="0F6E56"/>
                <w:sz w:val="20"/>
                <w:szCs w:val="20"/>
              </w:rPr>
              <w:t xml:space="preserve">O*NET for April 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2C2C2A"/>
                <w:sz w:val="20"/>
                <w:szCs w:val="20"/>
              </w:rPr>
              <w:t xml:space="preserve">Live API calls to onetcenter.org (requires free account registration) or 2-3 seeded occupations in mock data? Live is more impressive; seeded is safer for demo stability.</w:t>
            </w:r>
          </w:p>
        </w:tc>
      </w:tr>
      <w:tr>
        <w:tc>
          <w:tcPr>
            <w:tcW w:type="dxa" w:w="2800"/>
            <w:tcBorders>
              <w:top w:val="single" w:color="DDDDDD" w:sz="1"/>
              <w:left w:val="single" w:color="DDDDDD" w:sz="1"/>
              <w:bottom w:val="single" w:color="DDDDDD" w:sz="1"/>
              <w:right w:val="single" w:color="DDDDDD" w:sz="1"/>
            </w:tcBorders>
            <w:shd w:fill="FDE9C0" w:val="clear"/>
            <w:tcMar>
              <w:top w:type="dxa" w:w="80"/>
              <w:left w:type="dxa" w:w="160"/>
              <w:bottom w:type="dxa" w:w="80"/>
              <w:right w:type="dxa" w:w="120"/>
            </w:tcMar>
          </w:tcPr>
          <w:p>
            <w:r>
              <w:rPr>
                <w:rFonts w:ascii="Arial" w:cs="Arial" w:eastAsia="Arial" w:hAnsi="Arial"/>
                <w:b/>
                <w:bCs/>
                <w:color w:val="854F0B"/>
                <w:sz w:val="20"/>
                <w:szCs w:val="20"/>
              </w:rPr>
              <w:t xml:space="preserve">Industry flag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2C2C2A"/>
                <w:sz w:val="20"/>
                <w:szCs w:val="20"/>
              </w:rPr>
              <w:t xml:space="preserve">Where in the setup flow does the OEE vs SERVQUAL switch happen? This is a UI flag, not a data architecture change. Needs an industry selector dropdown at process setup screen.</w:t>
            </w:r>
          </w:p>
        </w:tc>
      </w:tr>
      <w:tr>
        <w:tc>
          <w:tcPr>
            <w:tcW w:type="dxa" w:w="2800"/>
            <w:tcBorders>
              <w:top w:val="single" w:color="DDDDDD" w:sz="1"/>
              <w:left w:val="single" w:color="DDDDDD" w:sz="1"/>
              <w:bottom w:val="single" w:color="DDDDDD" w:sz="1"/>
              <w:right w:val="single" w:color="DDDDDD" w:sz="1"/>
            </w:tcBorders>
            <w:shd w:fill="E8E7FC" w:val="clear"/>
            <w:tcMar>
              <w:top w:type="dxa" w:w="80"/>
              <w:left w:type="dxa" w:w="160"/>
              <w:bottom w:type="dxa" w:w="80"/>
              <w:right w:type="dxa" w:w="120"/>
            </w:tcMar>
          </w:tcPr>
          <w:p>
            <w:r>
              <w:rPr>
                <w:rFonts w:ascii="Arial" w:cs="Arial" w:eastAsia="Arial" w:hAnsi="Arial"/>
                <w:b/>
                <w:bCs/>
                <w:color w:val="534AB7"/>
                <w:sz w:val="20"/>
                <w:szCs w:val="20"/>
              </w:rPr>
              <w:t xml:space="preserve">Client benchmark input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2C2C2A"/>
                <w:sz w:val="20"/>
                <w:szCs w:val="20"/>
              </w:rPr>
              <w:t xml:space="preserve">Does the client input their own quality target (e.g. 'we operate at 4σ minimum') or does the platform use a sensible default? Client-set target makes the governance story significantly stronger.</w:t>
            </w:r>
          </w:p>
        </w:tc>
      </w:tr>
    </w:tbl>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7. April 7 Demo Scope</w:t>
      </w:r>
    </w:p>
    <w:p>
      <w:pPr>
        <w:pBdr>
          <w:left w:val="single" w:color="854F0B" w:sz="16" w:space="8"/>
        </w:pBdr>
        <w:shd w:fill="FDE9C0" w:val="clear"/>
        <w:spacing w:before="120" w:after="120"/>
        <w:ind w:left="360"/>
      </w:pPr>
      <w:r>
        <w:rPr>
          <w:rFonts w:ascii="Arial" w:cs="Arial" w:eastAsia="Arial" w:hAnsi="Arial"/>
          <w:i/>
          <w:iCs/>
          <w:color w:val="2C2C2A"/>
          <w:sz w:val="21"/>
          <w:szCs w:val="21"/>
        </w:rPr>
        <w:t xml:space="preserve">Target: A click-through prototype deployed on Vercel that Les can screenshot and share. Honest with client that real-time data is coming in the next iteration. Graphs may be seeded but the structure and story must be real.</w:t>
      </w:r>
    </w:p>
    <w:p>
      <w:pPr>
        <w:pStyle w:val="Heading2"/>
        <w:spacing w:before="280" w:after="100"/>
      </w:pPr>
      <w:r>
        <w:rPr>
          <w:rFonts w:ascii="Arial" w:cs="Arial" w:eastAsia="Arial" w:hAnsi="Arial"/>
          <w:b/>
          <w:bCs/>
          <w:color w:val="444441"/>
          <w:sz w:val="22"/>
          <w:szCs w:val="22"/>
        </w:rPr>
        <w:t xml:space="preserve">Must-Have for April 7</w:t>
      </w:r>
    </w:p>
    <w:p>
      <w:pPr>
        <w:pStyle w:val="ListParagraph"/>
        <w:numPr>
          <w:ilvl w:val="0"/>
          <w:numId w:val="2"/>
        </w:numPr>
        <w:spacing w:before="40" w:after="60"/>
      </w:pPr>
      <w:r>
        <w:rPr>
          <w:rFonts w:ascii="Arial" w:cs="Arial" w:eastAsia="Arial" w:hAnsi="Arial"/>
          <w:color w:val="2C2C2A"/>
          <w:sz w:val="22"/>
          <w:szCs w:val="22"/>
        </w:rPr>
        <w:t xml:space="preserve">Screen 01 — Process setup with at least 2-3 O*NET occupations selectable</w:t>
      </w:r>
    </w:p>
    <w:p>
      <w:pPr>
        <w:pStyle w:val="ListParagraph"/>
        <w:numPr>
          <w:ilvl w:val="0"/>
          <w:numId w:val="2"/>
        </w:numPr>
        <w:spacing w:before="40" w:after="60"/>
      </w:pPr>
      <w:r>
        <w:rPr>
          <w:rFonts w:ascii="Arial" w:cs="Arial" w:eastAsia="Arial" w:hAnsi="Arial"/>
          <w:color w:val="2C2C2A"/>
          <w:sz w:val="22"/>
          <w:szCs w:val="22"/>
        </w:rPr>
        <w:t xml:space="preserve">Screen 03 — Symmetry dashboard as the hero moment with credible numbers</w:t>
      </w:r>
    </w:p>
    <w:p>
      <w:pPr>
        <w:pStyle w:val="ListParagraph"/>
        <w:numPr>
          <w:ilvl w:val="0"/>
          <w:numId w:val="2"/>
        </w:numPr>
        <w:spacing w:before="40" w:after="60"/>
      </w:pPr>
      <w:r>
        <w:rPr>
          <w:rFonts w:ascii="Arial" w:cs="Arial" w:eastAsia="Arial" w:hAnsi="Arial"/>
          <w:color w:val="2C2C2A"/>
          <w:sz w:val="22"/>
          <w:szCs w:val="22"/>
        </w:rPr>
        <w:t xml:space="preserve">Screen 05 — Governance audit log as a static but credible table (at minimum)</w:t>
      </w:r>
    </w:p>
    <w:p>
      <w:pPr>
        <w:pStyle w:val="ListParagraph"/>
        <w:numPr>
          <w:ilvl w:val="0"/>
          <w:numId w:val="2"/>
        </w:numPr>
        <w:spacing w:before="40" w:after="60"/>
      </w:pPr>
      <w:r>
        <w:rPr>
          <w:rFonts w:ascii="Arial" w:cs="Arial" w:eastAsia="Arial" w:hAnsi="Arial"/>
          <w:color w:val="2C2C2A"/>
          <w:sz w:val="22"/>
          <w:szCs w:val="22"/>
        </w:rPr>
        <w:t xml:space="preserve">Sigma Score card per agent with plain English label and trend direction</w:t>
      </w:r>
    </w:p>
    <w:p>
      <w:pPr>
        <w:pStyle w:val="ListParagraph"/>
        <w:numPr>
          <w:ilvl w:val="0"/>
          <w:numId w:val="2"/>
        </w:numPr>
        <w:spacing w:before="40" w:after="60"/>
      </w:pPr>
      <w:r>
        <w:rPr>
          <w:rFonts w:ascii="Arial" w:cs="Arial" w:eastAsia="Arial" w:hAnsi="Arial"/>
          <w:color w:val="2C2C2A"/>
          <w:sz w:val="22"/>
          <w:szCs w:val="22"/>
        </w:rPr>
        <w:t xml:space="preserve">One worked example of the ROI calculation with every assumption visible</w:t>
      </w:r>
    </w:p>
    <w:p>
      <w:pPr>
        <w:pStyle w:val="Heading2"/>
        <w:spacing w:before="280" w:after="100"/>
      </w:pPr>
      <w:r>
        <w:rPr>
          <w:rFonts w:ascii="Arial" w:cs="Arial" w:eastAsia="Arial" w:hAnsi="Arial"/>
          <w:b/>
          <w:bCs/>
          <w:color w:val="444441"/>
          <w:sz w:val="22"/>
          <w:szCs w:val="22"/>
        </w:rPr>
        <w:t xml:space="preserve">Nice-to-Have for April 7</w:t>
      </w:r>
    </w:p>
    <w:p>
      <w:pPr>
        <w:pStyle w:val="ListParagraph"/>
        <w:numPr>
          <w:ilvl w:val="0"/>
          <w:numId w:val="2"/>
        </w:numPr>
        <w:spacing w:before="40" w:after="60"/>
      </w:pPr>
      <w:r>
        <w:rPr>
          <w:rFonts w:ascii="Arial" w:cs="Arial" w:eastAsia="Arial" w:hAnsi="Arial"/>
          <w:color w:val="2C2C2A"/>
          <w:sz w:val="22"/>
          <w:szCs w:val="22"/>
        </w:rPr>
        <w:t xml:space="preserve">Screen 02 — Basic task coverage map (even if static)</w:t>
      </w:r>
    </w:p>
    <w:p>
      <w:pPr>
        <w:pStyle w:val="ListParagraph"/>
        <w:numPr>
          <w:ilvl w:val="0"/>
          <w:numId w:val="2"/>
        </w:numPr>
        <w:spacing w:before="40" w:after="60"/>
      </w:pPr>
      <w:r>
        <w:rPr>
          <w:rFonts w:ascii="Arial" w:cs="Arial" w:eastAsia="Arial" w:hAnsi="Arial"/>
          <w:color w:val="2C2C2A"/>
          <w:sz w:val="22"/>
          <w:szCs w:val="22"/>
        </w:rPr>
        <w:t xml:space="preserve">Live Langfuse connection for the Odds Analysis Agent traces already available</w:t>
      </w:r>
    </w:p>
    <w:p>
      <w:pPr>
        <w:pStyle w:val="ListParagraph"/>
        <w:numPr>
          <w:ilvl w:val="0"/>
          <w:numId w:val="2"/>
        </w:numPr>
        <w:spacing w:before="40" w:after="60"/>
      </w:pPr>
      <w:r>
        <w:rPr>
          <w:rFonts w:ascii="Arial" w:cs="Arial" w:eastAsia="Arial" w:hAnsi="Arial"/>
          <w:color w:val="2C2C2A"/>
          <w:sz w:val="22"/>
          <w:szCs w:val="22"/>
        </w:rPr>
        <w:t xml:space="preserve">Industry toggle (OEE vs SERVQUAL) in setup flow</w:t>
      </w:r>
    </w:p>
    <w:p>
      <w:pPr>
        <w:pStyle w:val="Heading2"/>
        <w:spacing w:before="280" w:after="100"/>
      </w:pPr>
      <w:r>
        <w:rPr>
          <w:rFonts w:ascii="Arial" w:cs="Arial" w:eastAsia="Arial" w:hAnsi="Arial"/>
          <w:b/>
          <w:bCs/>
          <w:color w:val="444441"/>
          <w:sz w:val="22"/>
          <w:szCs w:val="22"/>
        </w:rPr>
        <w:t xml:space="preserve">Roadmap (Post April 7)</w:t>
      </w:r>
    </w:p>
    <w:p>
      <w:pPr>
        <w:pStyle w:val="ListParagraph"/>
        <w:numPr>
          <w:ilvl w:val="0"/>
          <w:numId w:val="2"/>
        </w:numPr>
        <w:spacing w:before="40" w:after="60"/>
      </w:pPr>
      <w:r>
        <w:rPr>
          <w:rFonts w:ascii="Arial" w:cs="Arial" w:eastAsia="Arial" w:hAnsi="Arial"/>
          <w:color w:val="2C2C2A"/>
          <w:sz w:val="22"/>
          <w:szCs w:val="22"/>
        </w:rPr>
        <w:t xml:space="preserve">Screen 04 — Full transformation roadmap with maturity stage progression</w:t>
      </w:r>
    </w:p>
    <w:p>
      <w:pPr>
        <w:pStyle w:val="ListParagraph"/>
        <w:numPr>
          <w:ilvl w:val="0"/>
          <w:numId w:val="2"/>
        </w:numPr>
        <w:spacing w:before="40" w:after="60"/>
      </w:pPr>
      <w:r>
        <w:rPr>
          <w:rFonts w:ascii="Arial" w:cs="Arial" w:eastAsia="Arial" w:hAnsi="Arial"/>
          <w:color w:val="2C2C2A"/>
          <w:sz w:val="22"/>
          <w:szCs w:val="22"/>
        </w:rPr>
        <w:t xml:space="preserve">Real-time Langfuse streaming with gateway proxy</w:t>
      </w:r>
    </w:p>
    <w:p>
      <w:pPr>
        <w:pStyle w:val="ListParagraph"/>
        <w:numPr>
          <w:ilvl w:val="0"/>
          <w:numId w:val="2"/>
        </w:numPr>
        <w:spacing w:before="40" w:after="60"/>
      </w:pPr>
      <w:r>
        <w:rPr>
          <w:rFonts w:ascii="Arial" w:cs="Arial" w:eastAsia="Arial" w:hAnsi="Arial"/>
          <w:color w:val="2C2C2A"/>
          <w:sz w:val="22"/>
          <w:szCs w:val="22"/>
        </w:rPr>
        <w:t xml:space="preserve">FMEA risk board — severity × occurrence × detection heatmap</w:t>
      </w:r>
    </w:p>
    <w:p>
      <w:pPr>
        <w:pStyle w:val="ListParagraph"/>
        <w:numPr>
          <w:ilvl w:val="0"/>
          <w:numId w:val="2"/>
        </w:numPr>
        <w:spacing w:before="40" w:after="60"/>
      </w:pPr>
      <w:r>
        <w:rPr>
          <w:rFonts w:ascii="Arial" w:cs="Arial" w:eastAsia="Arial" w:hAnsi="Arial"/>
          <w:color w:val="2C2C2A"/>
          <w:sz w:val="22"/>
          <w:szCs w:val="22"/>
        </w:rPr>
        <w:t xml:space="preserve">O*NET live API integration with full task list drill-down</w:t>
      </w:r>
    </w:p>
    <w:p>
      <w:pPr>
        <w:pStyle w:val="ListParagraph"/>
        <w:numPr>
          <w:ilvl w:val="0"/>
          <w:numId w:val="2"/>
        </w:numPr>
        <w:spacing w:before="40" w:after="60"/>
      </w:pPr>
      <w:r>
        <w:rPr>
          <w:rFonts w:ascii="Arial" w:cs="Arial" w:eastAsia="Arial" w:hAnsi="Arial"/>
          <w:color w:val="2C2C2A"/>
          <w:sz w:val="22"/>
          <w:szCs w:val="22"/>
        </w:rPr>
        <w:t xml:space="preserve">EU AI Act audit log export (PDF, structured JSON)</w:t>
      </w:r>
    </w:p>
    <w:p>
      <w:pPr>
        <w:pStyle w:val="ListParagraph"/>
        <w:numPr>
          <w:ilvl w:val="0"/>
          <w:numId w:val="2"/>
        </w:numPr>
        <w:spacing w:before="40" w:after="60"/>
      </w:pPr>
      <w:r>
        <w:rPr>
          <w:rFonts w:ascii="Arial" w:cs="Arial" w:eastAsia="Arial" w:hAnsi="Arial"/>
          <w:color w:val="2C2C2A"/>
          <w:sz w:val="22"/>
          <w:szCs w:val="22"/>
        </w:rPr>
        <w:t xml:space="preserve">Multi-client / multi-occupation workspace with benchmark comparison</w:t>
      </w:r>
    </w:p>
    <w:p>
      <w:pPr>
        <w:pBdr>
          <w:bottom w:val="single" w:color="D3D1C7" w:sz="2" w:space="1"/>
        </w:pBdr>
        <w:spacing w:before="200" w:after="200"/>
      </w:pPr>
    </w:p>
    <w:p>
      <w:pPr>
        <w:pStyle w:val="Heading1"/>
        <w:pBdr>
          <w:bottom w:val="single" w:color="1F5FA6" w:sz="6" w:space="4"/>
        </w:pBdr>
        <w:spacing w:before="360" w:after="120"/>
      </w:pPr>
      <w:r>
        <w:rPr>
          <w:rFonts w:ascii="Arial" w:cs="Arial" w:eastAsia="Arial" w:hAnsi="Arial"/>
          <w:b/>
          <w:bCs/>
          <w:color w:val="1F5FA6"/>
          <w:sz w:val="28"/>
          <w:szCs w:val="28"/>
        </w:rPr>
        <w:t xml:space="preserve">8. The Narrative Arc for the Demo</w:t>
      </w:r>
    </w:p>
    <w:p>
      <w:pPr>
        <w:spacing w:before="60" w:after="100"/>
      </w:pPr>
      <w:r>
        <w:rPr>
          <w:rFonts w:ascii="Arial" w:cs="Arial" w:eastAsia="Arial" w:hAnsi="Arial"/>
          <w:color w:val="2C2C2A"/>
          <w:sz w:val="22"/>
          <w:szCs w:val="22"/>
        </w:rPr>
        <w:t xml:space="preserve">How to walk Les's client through this on April 7:</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1F5FA6"/>
                <w:sz w:val="22"/>
                <w:szCs w:val="22"/>
              </w:rPr>
              <w:t xml:space="preserve">1</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C2C2A"/>
                <w:sz w:val="20"/>
                <w:szCs w:val="20"/>
              </w:rPr>
              <w:t xml:space="preserve">"Your organization already has a quality standard. Whether you call it Six Sigma, ISO, or your own internal benchmark — that standard exists. When you deployed AI agents, that standard didn't disappear. Until now, you just had no way to apply it."</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1F5FA6"/>
                <w:sz w:val="22"/>
                <w:szCs w:val="22"/>
              </w:rPr>
              <w:t xml:space="preserve">2</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C2C2A"/>
                <w:sz w:val="20"/>
                <w:szCs w:val="20"/>
              </w:rPr>
              <w:t xml:space="preserve">"This platform applies your existing quality language to every AI agent running in your organization. Your quality team can audit AI the same way they audit any other process. Your ops team sees OEE they already understand. Your compliance team gets ISO 42001 audit logs for the EU AI Act."</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1F5FA6"/>
                <w:sz w:val="22"/>
                <w:szCs w:val="22"/>
              </w:rPr>
              <w:t xml:space="preserve">3</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C2C2A"/>
                <w:sz w:val="20"/>
                <w:szCs w:val="20"/>
              </w:rPr>
              <w:t xml:space="preserve">"More importantly — it answers the question your board is asking: what is the total return when humans and AI work together? Not agent ROI in isolation. The full equation."</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1F5FA6"/>
                <w:sz w:val="22"/>
                <w:szCs w:val="22"/>
              </w:rPr>
              <w:t xml:space="preserve">4</w:t>
            </w:r>
          </w:p>
        </w:tc>
        <w:tc>
          <w:tcPr>
            <w:tcW w:type="dxa" w:w="8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C2C2A"/>
                <w:sz w:val="20"/>
                <w:szCs w:val="20"/>
              </w:rPr>
              <w:t xml:space="preserve">"And it shows you honestly — not 83,000% ROI, but the real number. The corrected number that accounts for the oversight hours your team now needs to spend. That honest number is what your CFO will actually believe."</w:t>
            </w:r>
          </w:p>
        </w:tc>
      </w:tr>
    </w:tbl>
    <w:p>
      <w:pPr>
        <w:pBdr>
          <w:bottom w:val="single" w:color="D3D1C7" w:sz="2" w:space="1"/>
        </w:pBdr>
        <w:spacing w:before="200" w:after="200"/>
      </w:pPr>
    </w:p>
    <w:p>
      <w:pPr>
        <w:spacing w:before="240" w:after="80"/>
      </w:pPr>
      <w:r>
        <w:rPr>
          <w:rFonts w:ascii="Arial" w:cs="Arial" w:eastAsia="Arial" w:hAnsi="Arial"/>
          <w:i/>
          <w:iCs/>
          <w:color w:val="888780"/>
          <w:sz w:val="19"/>
          <w:szCs w:val="19"/>
        </w:rPr>
        <w:t xml:space="preserve">Prepared by Andy Padia  |  AVP GenAI &amp; Global Head, AI Business Unit  |  Trigent Software</w:t>
      </w:r>
    </w:p>
    <w:p>
      <w:pPr>
        <w:spacing w:before="0" w:after="0"/>
      </w:pPr>
      <w:r>
        <w:rPr>
          <w:rFonts w:ascii="Arial" w:cs="Arial" w:eastAsia="Arial" w:hAnsi="Arial"/>
          <w:i/>
          <w:iCs/>
          <w:color w:val="888780"/>
          <w:sz w:val="19"/>
          <w:szCs w:val="19"/>
        </w:rPr>
        <w:t xml:space="preserve">For FuzeBox AI — Les Ottolenghi &amp; Mike Porter  |  March 2026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888780"/>
        <w:sz w:val="17"/>
        <w:szCs w:val="17"/>
      </w:rPr>
      <w:t xml:space="preserve">Agent Quality &amp; Process ROI Platform  —  Brain Dump &amp; Scope Document</w:t>
    </w:r>
    <w:r>
      <w:rPr>
        <w:rFonts w:ascii="Arial" w:cs="Arial" w:eastAsia="Arial" w:hAnsi="Arial"/>
        <w:color w:val="888780"/>
        <w:sz w:val="17"/>
        <w:szCs w:val="17"/>
      </w:rPr>
      <w:t xml:space="preserve">	Page </w:t>
    </w:r>
    <w:r>
      <w:rPr>
        <w:rFonts w:ascii="Arial" w:cs="Arial" w:eastAsia="Arial" w:hAnsi="Arial"/>
        <w:color w:val="888780"/>
        <w:sz w:val="17"/>
        <w:szCs w:val="17"/>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A6" w:sz="4" w:space="4"/>
      </w:pBdr>
    </w:pPr>
    <w:r>
      <w:rPr>
        <w:rFonts w:ascii="Arial" w:cs="Arial" w:eastAsia="Arial" w:hAnsi="Arial"/>
        <w:color w:val="888780"/>
        <w:sz w:val="18"/>
        <w:szCs w:val="18"/>
      </w:rPr>
      <w:t xml:space="preserve">CONFIDENTIAL  |  Trigent AI Business Unit  |  FuzeBox AI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FA6"/>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2026-03-31T12:46:40.331Z</dcterms:created>
  <dcterms:modified xsi:type="dcterms:W3CDTF">2026-03-31T12:46:40.332Z</dcterms:modified>
</cp:coreProperties>
</file>

<file path=docProps/custom.xml><?xml version="1.0" encoding="utf-8"?>
<Properties xmlns="http://schemas.openxmlformats.org/officeDocument/2006/custom-properties" xmlns:vt="http://schemas.openxmlformats.org/officeDocument/2006/docPropsVTypes"/>
</file>