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55oqj4gt4zxx" w:id="0"/>
      <w:bookmarkEnd w:id="0"/>
      <w:r w:rsidDel="00000000" w:rsidR="00000000" w:rsidRPr="00000000">
        <w:rPr>
          <w:b w:val="1"/>
          <w:bCs w:val="1"/>
          <w:sz w:val="46"/>
          <w:szCs w:val="46"/>
          <w:rtl w:val="0"/>
        </w:rPr>
        <w:t xml:space="preserve">FuzeBox AEOS: Comprehensive Briefing on Cross-Vendor Observation and the Predictive Economic Ledger</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10p5jxh4htc" w:id="1"/>
      <w:bookmarkEnd w:id="1"/>
      <w:r w:rsidDel="00000000" w:rsidR="00000000" w:rsidRPr="00000000">
        <w:rPr>
          <w:b w:val="1"/>
          <w:bCs w:val="1"/>
          <w:sz w:val="34"/>
          <w:szCs w:val="34"/>
          <w:rtl w:val="0"/>
        </w:rPr>
        <w:t xml:space="preserve">Executive Summary</w:t>
      </w:r>
    </w:p>
    <w:p w:rsidR="00000000" w:rsidDel="00000000" w:rsidP="00000000" w:rsidRDefault="00000000" w:rsidRPr="00000000" w14:paraId="00000003">
      <w:pPr>
        <w:spacing w:after="240" w:before="240" w:lineRule="auto"/>
        <w:rPr>
          <w:b w:val="1"/>
          <w:bCs w:val="1"/>
        </w:rPr>
      </w:pPr>
      <w:r w:rsidDel="00000000" w:rsidR="00000000" w:rsidRPr="00000000">
        <w:rPr>
          <w:rtl w:val="0"/>
        </w:rPr>
        <w:t xml:space="preserve">FuzeBox AEOS represents a neutral observation and correction plane designed to sit above all major hyperscalers, frontier model labs, enterprise agent platforms, and tool surfaces. Its primary value proposition is the delivery of </w:t>
      </w:r>
      <w:r w:rsidDel="00000000" w:rsidR="00000000" w:rsidRPr="00000000">
        <w:rPr>
          <w:b w:val="1"/>
          <w:bCs w:val="1"/>
          <w:rtl w:val="0"/>
        </w:rPr>
        <w:t xml:space="preserve">legally defensible, per-decision proof of dollar outcome against prediction.</w:t>
      </w:r>
    </w:p>
    <w:p w:rsidR="00000000" w:rsidDel="00000000" w:rsidP="00000000" w:rsidRDefault="00000000" w:rsidRPr="00000000" w14:paraId="00000004">
      <w:pPr>
        <w:spacing w:after="240" w:before="240" w:lineRule="auto"/>
        <w:rPr/>
      </w:pPr>
      <w:r w:rsidDel="00000000" w:rsidR="00000000" w:rsidRPr="00000000">
        <w:rPr>
          <w:rtl w:val="0"/>
        </w:rPr>
        <w:t xml:space="preserve">The system operates through three load-bearing capabilities:</w:t>
      </w:r>
    </w:p>
    <w:p w:rsidR="00000000" w:rsidDel="00000000" w:rsidP="00000000" w:rsidRDefault="00000000" w:rsidRPr="00000000" w14:paraId="00000005">
      <w:pPr>
        <w:numPr>
          <w:ilvl w:val="0"/>
          <w:numId w:val="8"/>
        </w:numPr>
        <w:spacing w:after="0" w:afterAutospacing="0" w:before="240" w:lineRule="auto"/>
        <w:ind w:left="720" w:hanging="360"/>
      </w:pPr>
      <w:r w:rsidDel="00000000" w:rsidR="00000000" w:rsidRPr="00000000">
        <w:rPr>
          <w:b w:val="1"/>
          <w:bCs w:val="1"/>
          <w:rtl w:val="0"/>
        </w:rPr>
        <w:t xml:space="preserve">Cross-vendor observation:</w:t>
      </w:r>
      <w:r w:rsidDel="00000000" w:rsidR="00000000" w:rsidRPr="00000000">
        <w:rPr>
          <w:rtl w:val="0"/>
        </w:rPr>
        <w:t xml:space="preserve"> Normalizing telemetry across every runtime vendor and tool surface.</w:t>
      </w:r>
    </w:p>
    <w:p w:rsidR="00000000" w:rsidDel="00000000" w:rsidP="00000000" w:rsidRDefault="00000000" w:rsidRPr="00000000" w14:paraId="00000006">
      <w:pPr>
        <w:numPr>
          <w:ilvl w:val="0"/>
          <w:numId w:val="8"/>
        </w:numPr>
        <w:spacing w:after="0" w:afterAutospacing="0" w:before="0" w:beforeAutospacing="0" w:lineRule="auto"/>
        <w:ind w:left="720" w:hanging="360"/>
      </w:pPr>
      <w:r w:rsidDel="00000000" w:rsidR="00000000" w:rsidRPr="00000000">
        <w:rPr>
          <w:b w:val="1"/>
          <w:bCs w:val="1"/>
          <w:rtl w:val="0"/>
        </w:rPr>
        <w:t xml:space="preserve">Predictive Economic Ledger (PEL):</w:t>
      </w:r>
      <w:r w:rsidDel="00000000" w:rsidR="00000000" w:rsidRPr="00000000">
        <w:rPr>
          <w:rtl w:val="0"/>
        </w:rPr>
        <w:t xml:space="preserve"> A detailed record of predicted vs. actual outcomes, variance, attribution, and correction.</w:t>
      </w:r>
    </w:p>
    <w:p w:rsidR="00000000" w:rsidDel="00000000" w:rsidP="00000000" w:rsidRDefault="00000000" w:rsidRPr="00000000" w14:paraId="00000007">
      <w:pPr>
        <w:numPr>
          <w:ilvl w:val="0"/>
          <w:numId w:val="8"/>
        </w:numPr>
        <w:spacing w:after="240" w:before="0" w:beforeAutospacing="0" w:lineRule="auto"/>
        <w:ind w:left="720" w:hanging="360"/>
      </w:pPr>
      <w:r w:rsidDel="00000000" w:rsidR="00000000" w:rsidRPr="00000000">
        <w:rPr>
          <w:b w:val="1"/>
          <w:bCs w:val="1"/>
          <w:rtl w:val="0"/>
        </w:rPr>
        <w:t xml:space="preserve">Realtime injection:</w:t>
      </w:r>
      <w:r w:rsidDel="00000000" w:rsidR="00000000" w:rsidRPr="00000000">
        <w:rPr>
          <w:rtl w:val="0"/>
        </w:rPr>
        <w:t xml:space="preserve"> Automated corrective patches triggered when technical or economic variances exceed defined tolerances.</w:t>
      </w:r>
    </w:p>
    <w:p w:rsidR="00000000" w:rsidDel="00000000" w:rsidP="00000000" w:rsidRDefault="00000000" w:rsidRPr="00000000" w14:paraId="00000008">
      <w:pPr>
        <w:spacing w:after="240" w:before="240" w:lineRule="auto"/>
        <w:rPr/>
      </w:pPr>
      <w:r w:rsidDel="00000000" w:rsidR="00000000" w:rsidRPr="00000000">
        <w:rPr>
          <w:rtl w:val="0"/>
        </w:rPr>
        <w:t xml:space="preserve">The structural "moat" of the platform is defined by a </w:t>
      </w:r>
      <w:r w:rsidDel="00000000" w:rsidR="00000000" w:rsidRPr="00000000">
        <w:rPr>
          <w:b w:val="1"/>
          <w:bCs w:val="1"/>
          <w:rtl w:val="0"/>
        </w:rPr>
        <w:t xml:space="preserve">two-party cryptographic signature</w:t>
      </w:r>
      <w:r w:rsidDel="00000000" w:rsidR="00000000" w:rsidRPr="00000000">
        <w:rPr>
          <w:rtl w:val="0"/>
        </w:rPr>
        <w:t xml:space="preserve"> required for every attestation bundle. Co-signed by FuzeBox (the governance operator) and rPotential (the workforce intelligence operator), this signature ensures that neither party can produce the asset alone, creating a contractual and technical lock. This architecture addresses the critical "proof of outcome" gap that current governance and observability tools fail to fill, particularly for Fortune 500 companies operating in highly regulated environments (e.g., EU AI Act, ISO/IEC 42001).</w:t>
      </w:r>
    </w:p>
    <w:p w:rsidR="00000000" w:rsidDel="00000000" w:rsidP="00000000" w:rsidRDefault="00000000" w:rsidRPr="00000000" w14:paraId="00000009">
      <w:pPr>
        <w:spacing w:after="240" w:before="240" w:lineRule="auto"/>
        <w:rPr/>
      </w:pPr>
      <w:r w:rsidDel="00000000" w:rsidR="00000000" w:rsidRPr="00000000">
        <w:rPr>
          <w:rtl w:val="0"/>
        </w:rPr>
        <w:t xml:space="preserve">--------------------------------------------------------------------------------</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y0qz53j9ulhi" w:id="2"/>
      <w:bookmarkEnd w:id="2"/>
      <w:r w:rsidDel="00000000" w:rsidR="00000000" w:rsidRPr="00000000">
        <w:rPr>
          <w:b w:val="1"/>
          <w:bCs w:val="1"/>
          <w:sz w:val="34"/>
          <w:szCs w:val="34"/>
          <w:rtl w:val="0"/>
        </w:rPr>
        <w:t xml:space="preserve">Core System Capabilities</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a3u0ucnnm4re" w:id="3"/>
      <w:bookmarkEnd w:id="3"/>
      <w:r w:rsidDel="00000000" w:rsidR="00000000" w:rsidRPr="00000000">
        <w:rPr>
          <w:b w:val="1"/>
          <w:bCs w:val="1"/>
          <w:color w:val="000000"/>
          <w:sz w:val="26"/>
          <w:szCs w:val="26"/>
          <w:rtl w:val="0"/>
        </w:rPr>
        <w:t xml:space="preserve">1. Cross-Vendor Observation Plane</w:t>
      </w:r>
    </w:p>
    <w:p w:rsidR="00000000" w:rsidDel="00000000" w:rsidP="00000000" w:rsidRDefault="00000000" w:rsidRPr="00000000" w14:paraId="0000000C">
      <w:pPr>
        <w:spacing w:after="240" w:before="240" w:lineRule="auto"/>
        <w:rPr/>
      </w:pPr>
      <w:r w:rsidDel="00000000" w:rsidR="00000000" w:rsidRPr="00000000">
        <w:rPr>
          <w:rtl w:val="0"/>
        </w:rPr>
        <w:t xml:space="preserve">The observation plane captures and normalizes telemetry from every layer of the enterprise AI stack. Gaps in coverage are treated as commercial risks, and AEOS publishes a signed </w:t>
      </w:r>
      <w:r w:rsidDel="00000000" w:rsidR="00000000" w:rsidRPr="00000000">
        <w:rPr>
          <w:b w:val="1"/>
          <w:bCs w:val="1"/>
          <w:rtl w:val="0"/>
        </w:rPr>
        <w:t xml:space="preserve">Coverage Manifest</w:t>
      </w:r>
      <w:r w:rsidDel="00000000" w:rsidR="00000000" w:rsidRPr="00000000">
        <w:rPr>
          <w:rtl w:val="0"/>
        </w:rPr>
        <w:t xml:space="preserve"> per tenant to explicitly state which vendors and tool surfaces are under proof.</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576.0559901193906"/>
        <w:gridCol w:w="7783.94400988061"/>
        <w:tblGridChange w:id="0">
          <w:tblGrid>
            <w:gridCol w:w="1576.0559901193906"/>
            <w:gridCol w:w="7783.94400988061"/>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Layer</w:t>
            </w:r>
          </w:p>
        </w:tc>
        <w:tc>
          <w:tcPr>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b w:val="1"/>
                <w:bCs w:val="1"/>
              </w:rPr>
            </w:pPr>
            <w:r w:rsidDel="00000000" w:rsidR="00000000" w:rsidRPr="00000000">
              <w:rPr>
                <w:b w:val="1"/>
                <w:bCs w:val="1"/>
                <w:rtl w:val="0"/>
              </w:rPr>
              <w:t xml:space="preserve">Observation Targets</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Hyperscalers</w:t>
            </w:r>
          </w:p>
        </w:tc>
        <w:tc>
          <w:tcPr>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pPr>
            <w:r w:rsidDel="00000000" w:rsidR="00000000" w:rsidRPr="00000000">
              <w:rPr>
                <w:rtl w:val="0"/>
              </w:rPr>
              <w:t xml:space="preserve">AWS Bedrock, Azure OpenAI, Google Vertex AI, Oracle GenAI, IBM watsonx</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Frontier Model Labs</w:t>
            </w:r>
          </w:p>
        </w:tc>
        <w:tc>
          <w:tcPr>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pPr>
            <w:r w:rsidDel="00000000" w:rsidR="00000000" w:rsidRPr="00000000">
              <w:rPr>
                <w:rtl w:val="0"/>
              </w:rPr>
              <w:t xml:space="preserve">Anthropic, OpenAI, Google (Gemini), Mistral, Meta (Llama), Cohere, AI21, xAI, DeepSeek, Qwen</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Enterprise Agent Platforms</w:t>
            </w:r>
          </w:p>
        </w:tc>
        <w:tc>
          <w:tcPr>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pPr>
            <w:r w:rsidDel="00000000" w:rsidR="00000000" w:rsidRPr="00000000">
              <w:rPr>
                <w:rtl w:val="0"/>
              </w:rPr>
              <w:t xml:space="preserve">Salesforce Agentforce, Microsoft Copilot Studio, ServiceNow, Pega GenAI, Uniphore BAC, SAP Joule, Workday Illuminate, Oracle Digital Assistant</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Developer Frameworks</w:t>
            </w:r>
          </w:p>
        </w:tc>
        <w:tc>
          <w:tcPr>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pPr>
            <w:r w:rsidDel="00000000" w:rsidR="00000000" w:rsidRPr="00000000">
              <w:rPr>
                <w:rtl w:val="0"/>
              </w:rPr>
              <w:t xml:space="preserve">CrewAI, LangGraph, AutoGen, LlamaIndex, Dify, n8n, Haystack, Semantic Kernel</w:t>
            </w:r>
          </w:p>
        </w:tc>
      </w:tr>
      <w:tr>
        <w:trPr>
          <w:cantSplit w:val="0"/>
          <w:trHeight w:val="785" w:hRule="atLeast"/>
          <w:tblHeader w:val="0"/>
        </w:trPr>
        <w:tc>
          <w:tcPr>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Tool Surfaces</w:t>
            </w:r>
          </w:p>
        </w:tc>
        <w:tc>
          <w:tcPr>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pPr>
            <w:r w:rsidDel="00000000" w:rsidR="00000000" w:rsidRPr="00000000">
              <w:rPr>
                <w:rtl w:val="0"/>
              </w:rPr>
              <w:t xml:space="preserve">Vector stores (Pinecone, Weaviate), Knowledge graphs (Neo4j), RAG (LlamaCloud), MCP servers, Browser automation, Code sandboxes (E2B), Retrieval (Exa)</w:t>
            </w:r>
          </w:p>
        </w:tc>
      </w:tr>
    </w:tbl>
    <w:p w:rsidR="00000000" w:rsidDel="00000000" w:rsidP="00000000" w:rsidRDefault="00000000" w:rsidRPr="00000000" w14:paraId="00000019">
      <w:pPr>
        <w:spacing w:after="240" w:before="240" w:lineRule="auto"/>
        <w:rPr/>
      </w:pPr>
      <w:r w:rsidDel="00000000" w:rsidR="00000000" w:rsidRPr="00000000">
        <w:rPr>
          <w:b w:val="1"/>
          <w:bCs w:val="1"/>
          <w:rtl w:val="0"/>
        </w:rPr>
        <w:t xml:space="preserve">Normalized Observation Events:</w:t>
      </w:r>
      <w:r w:rsidDel="00000000" w:rsidR="00000000" w:rsidRPr="00000000">
        <w:rPr>
          <w:rtl w:val="0"/>
        </w:rPr>
        <w:t xml:space="preserve"> Every execution produces a standardized event regardless of the vendor. This includes technical metrics (latency, tokens, hallucination scores), tool-surface operations, and economic metrics (inference and tool costs).</w:t>
      </w:r>
    </w:p>
    <w:p w:rsidR="00000000" w:rsidDel="00000000" w:rsidP="00000000" w:rsidRDefault="00000000" w:rsidRPr="00000000" w14:paraId="0000001A">
      <w:pPr>
        <w:pStyle w:val="Heading3"/>
        <w:keepNext w:val="0"/>
        <w:keepLines w:val="0"/>
        <w:spacing w:before="280" w:lineRule="auto"/>
        <w:rPr>
          <w:b w:val="1"/>
          <w:bCs w:val="1"/>
          <w:color w:val="000000"/>
          <w:sz w:val="26"/>
          <w:szCs w:val="26"/>
        </w:rPr>
      </w:pPr>
      <w:bookmarkStart w:colFirst="0" w:colLast="0" w:name="_kilyb14cfjg3" w:id="4"/>
      <w:bookmarkEnd w:id="4"/>
      <w:r w:rsidDel="00000000" w:rsidR="00000000" w:rsidRPr="00000000">
        <w:rPr>
          <w:b w:val="1"/>
          <w:bCs w:val="1"/>
          <w:color w:val="000000"/>
          <w:sz w:val="26"/>
          <w:szCs w:val="26"/>
          <w:rtl w:val="0"/>
        </w:rPr>
        <w:t xml:space="preserve">2. The Predictive Economic Ledger (PEL)</w:t>
      </w:r>
    </w:p>
    <w:p w:rsidR="00000000" w:rsidDel="00000000" w:rsidP="00000000" w:rsidRDefault="00000000" w:rsidRPr="00000000" w14:paraId="0000001B">
      <w:pPr>
        <w:spacing w:after="240" w:before="240" w:lineRule="auto"/>
        <w:rPr/>
      </w:pPr>
      <w:r w:rsidDel="00000000" w:rsidR="00000000" w:rsidRPr="00000000">
        <w:rPr>
          <w:rtl w:val="0"/>
        </w:rPr>
        <w:t xml:space="preserve">The PEL is the central asset of the AEOS platform. It tracks every agent decision across five substructures:</w:t>
      </w:r>
    </w:p>
    <w:p w:rsidR="00000000" w:rsidDel="00000000" w:rsidP="00000000" w:rsidRDefault="00000000" w:rsidRPr="00000000" w14:paraId="0000001C">
      <w:pPr>
        <w:numPr>
          <w:ilvl w:val="0"/>
          <w:numId w:val="7"/>
        </w:numPr>
        <w:spacing w:after="0" w:afterAutospacing="0" w:before="240" w:lineRule="auto"/>
        <w:ind w:left="720" w:hanging="360"/>
      </w:pPr>
      <w:r w:rsidDel="00000000" w:rsidR="00000000" w:rsidRPr="00000000">
        <w:rPr>
          <w:b w:val="1"/>
          <w:bCs w:val="1"/>
          <w:rtl w:val="0"/>
        </w:rPr>
        <w:t xml:space="preserve">Predicted:</w:t>
      </w:r>
      <w:r w:rsidDel="00000000" w:rsidR="00000000" w:rsidRPr="00000000">
        <w:rPr>
          <w:rtl w:val="0"/>
        </w:rPr>
        <w:t xml:space="preserve"> Profit/loss in dollars at decision time, signed by FuzeBox.</w:t>
      </w:r>
    </w:p>
    <w:p w:rsidR="00000000" w:rsidDel="00000000" w:rsidP="00000000" w:rsidRDefault="00000000" w:rsidRPr="00000000" w14:paraId="0000001D">
      <w:pPr>
        <w:numPr>
          <w:ilvl w:val="0"/>
          <w:numId w:val="7"/>
        </w:numPr>
        <w:spacing w:after="0" w:afterAutospacing="0" w:before="0" w:beforeAutospacing="0" w:lineRule="auto"/>
        <w:ind w:left="720" w:hanging="360"/>
      </w:pPr>
      <w:r w:rsidDel="00000000" w:rsidR="00000000" w:rsidRPr="00000000">
        <w:rPr>
          <w:b w:val="1"/>
          <w:bCs w:val="1"/>
          <w:rtl w:val="0"/>
        </w:rPr>
        <w:t xml:space="preserve">Actual:</w:t>
      </w:r>
      <w:r w:rsidDel="00000000" w:rsidR="00000000" w:rsidRPr="00000000">
        <w:rPr>
          <w:rtl w:val="0"/>
        </w:rPr>
        <w:t xml:space="preserve"> Outcome profit/loss sourced from external </w:t>
      </w:r>
      <w:r w:rsidDel="00000000" w:rsidR="00000000" w:rsidRPr="00000000">
        <w:rPr>
          <w:b w:val="1"/>
          <w:bCs w:val="1"/>
          <w:rtl w:val="0"/>
        </w:rPr>
        <w:t xml:space="preserve">Systems of Record (SoR)</w:t>
      </w:r>
      <w:r w:rsidDel="00000000" w:rsidR="00000000" w:rsidRPr="00000000">
        <w:rPr>
          <w:rtl w:val="0"/>
        </w:rPr>
        <w:t xml:space="preserve"> such as CRM, ERP, financial ledgers, or betting books. This is co-signed by FuzeBox and rPotential.</w:t>
      </w:r>
    </w:p>
    <w:p w:rsidR="00000000" w:rsidDel="00000000" w:rsidP="00000000" w:rsidRDefault="00000000" w:rsidRPr="00000000" w14:paraId="0000001E">
      <w:pPr>
        <w:numPr>
          <w:ilvl w:val="0"/>
          <w:numId w:val="7"/>
        </w:numPr>
        <w:spacing w:after="0" w:afterAutospacing="0" w:before="0" w:beforeAutospacing="0" w:lineRule="auto"/>
        <w:ind w:left="720" w:hanging="360"/>
      </w:pPr>
      <w:r w:rsidDel="00000000" w:rsidR="00000000" w:rsidRPr="00000000">
        <w:rPr>
          <w:b w:val="1"/>
          <w:bCs w:val="1"/>
          <w:rtl w:val="0"/>
        </w:rPr>
        <w:t xml:space="preserve">Variance:</w:t>
      </w:r>
      <w:r w:rsidDel="00000000" w:rsidR="00000000" w:rsidRPr="00000000">
        <w:rPr>
          <w:rtl w:val="0"/>
        </w:rPr>
        <w:t xml:space="preserve"> Computed on both technical and economic dimensions.</w:t>
      </w:r>
    </w:p>
    <w:p w:rsidR="00000000" w:rsidDel="00000000" w:rsidP="00000000" w:rsidRDefault="00000000" w:rsidRPr="00000000" w14:paraId="0000001F">
      <w:pPr>
        <w:numPr>
          <w:ilvl w:val="0"/>
          <w:numId w:val="7"/>
        </w:numPr>
        <w:spacing w:after="0" w:afterAutospacing="0" w:before="0" w:beforeAutospacing="0" w:lineRule="auto"/>
        <w:ind w:left="720" w:hanging="360"/>
      </w:pPr>
      <w:r w:rsidDel="00000000" w:rsidR="00000000" w:rsidRPr="00000000">
        <w:rPr>
          <w:b w:val="1"/>
          <w:bCs w:val="1"/>
          <w:rtl w:val="0"/>
        </w:rPr>
        <w:t xml:space="preserve">Attribution:</w:t>
      </w:r>
      <w:r w:rsidDel="00000000" w:rsidR="00000000" w:rsidRPr="00000000">
        <w:rPr>
          <w:rtl w:val="0"/>
        </w:rPr>
        <w:t xml:space="preserve"> A five-bucket classification (agent, instructions, data, policy, environment) anchored against rPotential’s workforce graph.</w:t>
      </w:r>
    </w:p>
    <w:p w:rsidR="00000000" w:rsidDel="00000000" w:rsidP="00000000" w:rsidRDefault="00000000" w:rsidRPr="00000000" w14:paraId="00000020">
      <w:pPr>
        <w:numPr>
          <w:ilvl w:val="0"/>
          <w:numId w:val="7"/>
        </w:numPr>
        <w:spacing w:after="240" w:before="0" w:beforeAutospacing="0" w:lineRule="auto"/>
        <w:ind w:left="720" w:hanging="360"/>
      </w:pPr>
      <w:r w:rsidDel="00000000" w:rsidR="00000000" w:rsidRPr="00000000">
        <w:rPr>
          <w:b w:val="1"/>
          <w:bCs w:val="1"/>
          <w:rtl w:val="0"/>
        </w:rPr>
        <w:t xml:space="preserve">Correction:</w:t>
      </w:r>
      <w:r w:rsidDel="00000000" w:rsidR="00000000" w:rsidRPr="00000000">
        <w:rPr>
          <w:rtl w:val="0"/>
        </w:rPr>
        <w:t xml:space="preserve"> Automatic patch generation when attribution identifies agent or instruction failures.</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qfo1g5u8tpeg" w:id="5"/>
      <w:bookmarkEnd w:id="5"/>
      <w:r w:rsidDel="00000000" w:rsidR="00000000" w:rsidRPr="00000000">
        <w:rPr>
          <w:b w:val="1"/>
          <w:bCs w:val="1"/>
          <w:color w:val="000000"/>
          <w:sz w:val="26"/>
          <w:szCs w:val="26"/>
          <w:rtl w:val="0"/>
        </w:rPr>
        <w:t xml:space="preserve">3. Realtime Injection and the Dynamic Instruction Runtime (DIR)</w:t>
      </w:r>
    </w:p>
    <w:p w:rsidR="00000000" w:rsidDel="00000000" w:rsidP="00000000" w:rsidRDefault="00000000" w:rsidRPr="00000000" w14:paraId="00000022">
      <w:pPr>
        <w:spacing w:after="240" w:before="240" w:lineRule="auto"/>
        <w:rPr/>
      </w:pPr>
      <w:r w:rsidDel="00000000" w:rsidR="00000000" w:rsidRPr="00000000">
        <w:rPr>
          <w:rtl w:val="0"/>
        </w:rPr>
        <w:t xml:space="preserve">The DIR fires patches when technical (e.g., sigma delta, error rate) or economic (e.g., win rate delta, cost-per-outcome) variance exceeds tolerances configured on the Skills Authority.</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Patch Types and Performance SLAs:</w:t>
      </w:r>
      <w:r w:rsidDel="00000000" w:rsidR="00000000" w:rsidRPr="00000000">
        <w:rPr>
          <w:rtl w:val="0"/>
        </w:rPr>
        <w:t xml:space="preserve"> | </w:t>
      </w:r>
      <w:r w:rsidDel="00000000" w:rsidR="00000000" w:rsidRPr="00000000">
        <w:rPr>
          <w:b w:val="1"/>
          <w:bCs w:val="1"/>
          <w:rtl w:val="0"/>
        </w:rPr>
        <w:t xml:space="preserve">Patch Class</w:t>
      </w:r>
      <w:r w:rsidDel="00000000" w:rsidR="00000000" w:rsidRPr="00000000">
        <w:rPr>
          <w:rtl w:val="0"/>
        </w:rPr>
        <w:t xml:space="preserve"> | </w:t>
      </w:r>
      <w:r w:rsidDel="00000000" w:rsidR="00000000" w:rsidRPr="00000000">
        <w:rPr>
          <w:b w:val="1"/>
          <w:bCs w:val="1"/>
          <w:rtl w:val="0"/>
        </w:rPr>
        <w:t xml:space="preserve">Action</w:t>
      </w:r>
      <w:r w:rsidDel="00000000" w:rsidR="00000000" w:rsidRPr="00000000">
        <w:rPr>
          <w:rtl w:val="0"/>
        </w:rPr>
        <w:t xml:space="preserve"> | </w:t>
      </w:r>
      <w:r w:rsidDel="00000000" w:rsidR="00000000" w:rsidRPr="00000000">
        <w:rPr>
          <w:b w:val="1"/>
          <w:bCs w:val="1"/>
          <w:rtl w:val="0"/>
        </w:rPr>
        <w:t xml:space="preserve">SLA</w:t>
      </w:r>
      <w:r w:rsidDel="00000000" w:rsidR="00000000" w:rsidRPr="00000000">
        <w:rPr>
          <w:rtl w:val="0"/>
        </w:rPr>
        <w:t xml:space="preserve"> | | :--- | :--- | :--- | | </w:t>
      </w:r>
      <w:r w:rsidDel="00000000" w:rsidR="00000000" w:rsidRPr="00000000">
        <w:rPr>
          <w:b w:val="1"/>
          <w:bCs w:val="1"/>
          <w:rtl w:val="0"/>
        </w:rPr>
        <w:t xml:space="preserve">Prompt-level</w:t>
      </w:r>
      <w:r w:rsidDel="00000000" w:rsidR="00000000" w:rsidRPr="00000000">
        <w:rPr>
          <w:rtl w:val="0"/>
        </w:rPr>
        <w:t xml:space="preserve"> | Edit system prompts or instruction templates; add constraints/guardrails. | &lt; 5 seconds | | </w:t>
      </w:r>
      <w:r w:rsidDel="00000000" w:rsidR="00000000" w:rsidRPr="00000000">
        <w:rPr>
          <w:b w:val="1"/>
          <w:bCs w:val="1"/>
          <w:rtl w:val="0"/>
        </w:rPr>
        <w:t xml:space="preserve">Routing</w:t>
      </w:r>
      <w:r w:rsidDel="00000000" w:rsidR="00000000" w:rsidRPr="00000000">
        <w:rPr>
          <w:rtl w:val="0"/>
        </w:rPr>
        <w:t xml:space="preserve"> | Re-route tasks to different models, vendors, or hybrid paths. | &lt; 60 seconds | | </w:t>
      </w:r>
      <w:r w:rsidDel="00000000" w:rsidR="00000000" w:rsidRPr="00000000">
        <w:rPr>
          <w:b w:val="1"/>
          <w:bCs w:val="1"/>
          <w:rtl w:val="0"/>
        </w:rPr>
        <w:t xml:space="preserve">Code</w:t>
      </w:r>
      <w:r w:rsidDel="00000000" w:rsidR="00000000" w:rsidRPr="00000000">
        <w:rPr>
          <w:rtl w:val="0"/>
        </w:rPr>
        <w:t xml:space="preserve"> | Update framework code for agents (CrewAI, LangGraph, etc.). | &lt; 5 minutes |</w:t>
      </w:r>
    </w:p>
    <w:p w:rsidR="00000000" w:rsidDel="00000000" w:rsidP="00000000" w:rsidRDefault="00000000" w:rsidRPr="00000000" w14:paraId="00000024">
      <w:pPr>
        <w:spacing w:after="240" w:before="240" w:lineRule="auto"/>
        <w:rPr/>
      </w:pPr>
      <w:r w:rsidDel="00000000" w:rsidR="00000000" w:rsidRPr="00000000">
        <w:rPr>
          <w:rtl w:val="0"/>
        </w:rPr>
        <w:t xml:space="preserve">Patches propagate cross-vendor; a prompt edit for an agent running on Anthropic must also apply if that same agent executes on OpenAI or a different hyperscaler.</w:t>
      </w:r>
    </w:p>
    <w:p w:rsidR="00000000" w:rsidDel="00000000" w:rsidP="00000000" w:rsidRDefault="00000000" w:rsidRPr="00000000" w14:paraId="00000025">
      <w:pPr>
        <w:spacing w:after="240" w:before="240" w:lineRule="auto"/>
        <w:rPr/>
      </w:pPr>
      <w:r w:rsidDel="00000000" w:rsidR="00000000" w:rsidRPr="00000000">
        <w:rPr>
          <w:rtl w:val="0"/>
        </w:rPr>
        <w:t xml:space="preserve">--------------------------------------------------------------------------------</w:t>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ff2ukges4ech" w:id="6"/>
      <w:bookmarkEnd w:id="6"/>
      <w:r w:rsidDel="00000000" w:rsidR="00000000" w:rsidRPr="00000000">
        <w:rPr>
          <w:b w:val="1"/>
          <w:bCs w:val="1"/>
          <w:sz w:val="34"/>
          <w:szCs w:val="34"/>
          <w:rtl w:val="0"/>
        </w:rPr>
        <w:t xml:space="preserve">Architecture and Governance Zones</w:t>
      </w:r>
    </w:p>
    <w:p w:rsidR="00000000" w:rsidDel="00000000" w:rsidP="00000000" w:rsidRDefault="00000000" w:rsidRPr="00000000" w14:paraId="00000027">
      <w:pPr>
        <w:spacing w:after="240" w:before="240" w:lineRule="auto"/>
        <w:rPr/>
      </w:pPr>
      <w:r w:rsidDel="00000000" w:rsidR="00000000" w:rsidRPr="00000000">
        <w:rPr>
          <w:rtl w:val="0"/>
        </w:rPr>
        <w:t xml:space="preserve">AEOS is organized into four distinct zones and twelve layers:</w:t>
      </w:r>
    </w:p>
    <w:p w:rsidR="00000000" w:rsidDel="00000000" w:rsidP="00000000" w:rsidRDefault="00000000" w:rsidRPr="00000000" w14:paraId="00000028">
      <w:pPr>
        <w:numPr>
          <w:ilvl w:val="0"/>
          <w:numId w:val="9"/>
        </w:numPr>
        <w:spacing w:after="0" w:afterAutospacing="0" w:before="240" w:lineRule="auto"/>
        <w:ind w:left="720" w:hanging="360"/>
      </w:pPr>
      <w:r w:rsidDel="00000000" w:rsidR="00000000" w:rsidRPr="00000000">
        <w:rPr>
          <w:b w:val="1"/>
          <w:bCs w:val="1"/>
          <w:rtl w:val="0"/>
        </w:rPr>
        <w:t xml:space="preserve">Assessment:</w:t>
      </w:r>
      <w:r w:rsidDel="00000000" w:rsidR="00000000" w:rsidRPr="00000000">
        <w:rPr>
          <w:rtl w:val="0"/>
        </w:rPr>
        <w:t xml:space="preserve"> Captures intent, policy packs, and Skills Authority contracts.</w:t>
      </w:r>
    </w:p>
    <w:p w:rsidR="00000000" w:rsidDel="00000000" w:rsidP="00000000" w:rsidRDefault="00000000" w:rsidRPr="00000000" w14:paraId="00000029">
      <w:pPr>
        <w:numPr>
          <w:ilvl w:val="0"/>
          <w:numId w:val="9"/>
        </w:numPr>
        <w:spacing w:after="0" w:afterAutospacing="0" w:before="0" w:beforeAutospacing="0" w:lineRule="auto"/>
        <w:ind w:left="720" w:hanging="360"/>
      </w:pPr>
      <w:r w:rsidDel="00000000" w:rsidR="00000000" w:rsidRPr="00000000">
        <w:rPr>
          <w:b w:val="1"/>
          <w:bCs w:val="1"/>
          <w:rtl w:val="0"/>
        </w:rPr>
        <w:t xml:space="preserve">Intelligence:</w:t>
      </w:r>
      <w:r w:rsidDel="00000000" w:rsidR="00000000" w:rsidRPr="00000000">
        <w:rPr>
          <w:rtl w:val="0"/>
        </w:rPr>
        <w:t xml:space="preserve"> Anchored by rPotential's workforce intelligence graph and live signal bus.</w:t>
      </w:r>
    </w:p>
    <w:p w:rsidR="00000000" w:rsidDel="00000000" w:rsidP="00000000" w:rsidRDefault="00000000" w:rsidRPr="00000000" w14:paraId="0000002A">
      <w:pPr>
        <w:numPr>
          <w:ilvl w:val="0"/>
          <w:numId w:val="9"/>
        </w:numPr>
        <w:spacing w:after="0" w:afterAutospacing="0" w:before="0" w:beforeAutospacing="0" w:lineRule="auto"/>
        <w:ind w:left="720" w:hanging="360"/>
      </w:pPr>
      <w:r w:rsidDel="00000000" w:rsidR="00000000" w:rsidRPr="00000000">
        <w:rPr>
          <w:b w:val="1"/>
          <w:bCs w:val="1"/>
          <w:rtl w:val="0"/>
        </w:rPr>
        <w:t xml:space="preserve">Execution:</w:t>
      </w:r>
      <w:r w:rsidDel="00000000" w:rsidR="00000000" w:rsidRPr="00000000">
        <w:rPr>
          <w:rtl w:val="0"/>
        </w:rPr>
        <w:t xml:space="preserve"> Contains the </w:t>
      </w:r>
      <w:r w:rsidDel="00000000" w:rsidR="00000000" w:rsidRPr="00000000">
        <w:rPr>
          <w:b w:val="1"/>
          <w:bCs w:val="1"/>
          <w:rtl w:val="0"/>
        </w:rPr>
        <w:t xml:space="preserve">Unified Execution Fabric (UEF)</w:t>
      </w:r>
      <w:r w:rsidDel="00000000" w:rsidR="00000000" w:rsidRPr="00000000">
        <w:rPr>
          <w:rtl w:val="0"/>
        </w:rPr>
        <w:t xml:space="preserve"> and the Adapter Gateway.</w:t>
      </w:r>
    </w:p>
    <w:p w:rsidR="00000000" w:rsidDel="00000000" w:rsidP="00000000" w:rsidRDefault="00000000" w:rsidRPr="00000000" w14:paraId="0000002B">
      <w:pPr>
        <w:numPr>
          <w:ilvl w:val="0"/>
          <w:numId w:val="9"/>
        </w:numPr>
        <w:spacing w:after="240" w:before="0" w:beforeAutospacing="0" w:lineRule="auto"/>
        <w:ind w:left="720" w:hanging="360"/>
      </w:pPr>
      <w:r w:rsidDel="00000000" w:rsidR="00000000" w:rsidRPr="00000000">
        <w:rPr>
          <w:b w:val="1"/>
          <w:bCs w:val="1"/>
          <w:rtl w:val="0"/>
        </w:rPr>
        <w:t xml:space="preserve">Governance:</w:t>
      </w:r>
      <w:r w:rsidDel="00000000" w:rsidR="00000000" w:rsidRPr="00000000">
        <w:rPr>
          <w:rtl w:val="0"/>
        </w:rPr>
        <w:t xml:space="preserve"> Houses the Telemetry Normalizer, PEL, and Attestation infrastructure.</w:t>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4vedjyfuiebu" w:id="7"/>
      <w:bookmarkEnd w:id="7"/>
      <w:r w:rsidDel="00000000" w:rsidR="00000000" w:rsidRPr="00000000">
        <w:rPr>
          <w:b w:val="1"/>
          <w:bCs w:val="1"/>
          <w:color w:val="000000"/>
          <w:sz w:val="26"/>
          <w:szCs w:val="26"/>
          <w:rtl w:val="0"/>
        </w:rPr>
        <w:t xml:space="preserve">The Unified Execution Fabric (UEF)</w:t>
      </w:r>
    </w:p>
    <w:p w:rsidR="00000000" w:rsidDel="00000000" w:rsidP="00000000" w:rsidRDefault="00000000" w:rsidRPr="00000000" w14:paraId="0000002D">
      <w:pPr>
        <w:spacing w:after="240" w:before="240" w:lineRule="auto"/>
        <w:rPr/>
      </w:pPr>
      <w:r w:rsidDel="00000000" w:rsidR="00000000" w:rsidRPr="00000000">
        <w:rPr>
          <w:rtl w:val="0"/>
        </w:rPr>
        <w:t xml:space="preserve">The UEF scores every task on eight dimensions before routing to a worker (AI, human, or hybrid):</w:t>
      </w:r>
    </w:p>
    <w:p w:rsidR="00000000" w:rsidDel="00000000" w:rsidP="00000000" w:rsidRDefault="00000000" w:rsidRPr="00000000" w14:paraId="0000002E">
      <w:pPr>
        <w:numPr>
          <w:ilvl w:val="0"/>
          <w:numId w:val="6"/>
        </w:numPr>
        <w:spacing w:after="0" w:afterAutospacing="0" w:before="240" w:lineRule="auto"/>
        <w:ind w:left="720" w:hanging="360"/>
      </w:pPr>
      <w:r w:rsidDel="00000000" w:rsidR="00000000" w:rsidRPr="00000000">
        <w:rPr>
          <w:rtl w:val="0"/>
        </w:rPr>
        <w:t xml:space="preserve">Capability fit</w:t>
      </w:r>
    </w:p>
    <w:p w:rsidR="00000000" w:rsidDel="00000000" w:rsidP="00000000" w:rsidRDefault="00000000" w:rsidRPr="00000000" w14:paraId="0000002F">
      <w:pPr>
        <w:numPr>
          <w:ilvl w:val="0"/>
          <w:numId w:val="6"/>
        </w:numPr>
        <w:spacing w:after="0" w:afterAutospacing="0" w:before="0" w:beforeAutospacing="0" w:lineRule="auto"/>
        <w:ind w:left="720" w:hanging="360"/>
      </w:pPr>
      <w:r w:rsidDel="00000000" w:rsidR="00000000" w:rsidRPr="00000000">
        <w:rPr>
          <w:rtl w:val="0"/>
        </w:rPr>
        <w:t xml:space="preserve">GSTI (Strategic Importance)</w:t>
      </w:r>
    </w:p>
    <w:p w:rsidR="00000000" w:rsidDel="00000000" w:rsidP="00000000" w:rsidRDefault="00000000" w:rsidRPr="00000000" w14:paraId="00000030">
      <w:pPr>
        <w:numPr>
          <w:ilvl w:val="0"/>
          <w:numId w:val="6"/>
        </w:numPr>
        <w:spacing w:after="0" w:afterAutospacing="0" w:before="0" w:beforeAutospacing="0" w:lineRule="auto"/>
        <w:ind w:left="720" w:hanging="360"/>
      </w:pPr>
      <w:r w:rsidDel="00000000" w:rsidR="00000000" w:rsidRPr="00000000">
        <w:rPr>
          <w:rtl w:val="0"/>
        </w:rPr>
        <w:t xml:space="preserve">Units of Potential (UoP)</w:t>
      </w:r>
    </w:p>
    <w:p w:rsidR="00000000" w:rsidDel="00000000" w:rsidP="00000000" w:rsidRDefault="00000000" w:rsidRPr="00000000" w14:paraId="00000031">
      <w:pPr>
        <w:numPr>
          <w:ilvl w:val="0"/>
          <w:numId w:val="6"/>
        </w:numPr>
        <w:spacing w:after="0" w:afterAutospacing="0" w:before="0" w:beforeAutospacing="0" w:lineRule="auto"/>
        <w:ind w:left="720" w:hanging="360"/>
      </w:pPr>
      <w:r w:rsidDel="00000000" w:rsidR="00000000" w:rsidRPr="00000000">
        <w:rPr>
          <w:rtl w:val="0"/>
        </w:rPr>
        <w:t xml:space="preserve">Coordination Tax</w:t>
      </w:r>
    </w:p>
    <w:p w:rsidR="00000000" w:rsidDel="00000000" w:rsidP="00000000" w:rsidRDefault="00000000" w:rsidRPr="00000000" w14:paraId="00000032">
      <w:pPr>
        <w:numPr>
          <w:ilvl w:val="0"/>
          <w:numId w:val="6"/>
        </w:numPr>
        <w:spacing w:after="0" w:afterAutospacing="0" w:before="0" w:beforeAutospacing="0" w:lineRule="auto"/>
        <w:ind w:left="720" w:hanging="360"/>
      </w:pPr>
      <w:r w:rsidDel="00000000" w:rsidR="00000000" w:rsidRPr="00000000">
        <w:rPr>
          <w:rtl w:val="0"/>
        </w:rPr>
        <w:t xml:space="preserve">Governance score</w:t>
      </w:r>
    </w:p>
    <w:p w:rsidR="00000000" w:rsidDel="00000000" w:rsidP="00000000" w:rsidRDefault="00000000" w:rsidRPr="00000000" w14:paraId="00000033">
      <w:pPr>
        <w:numPr>
          <w:ilvl w:val="0"/>
          <w:numId w:val="6"/>
        </w:numPr>
        <w:spacing w:after="0" w:afterAutospacing="0" w:before="0" w:beforeAutospacing="0" w:lineRule="auto"/>
        <w:ind w:left="720" w:hanging="360"/>
      </w:pPr>
      <w:r w:rsidDel="00000000" w:rsidR="00000000" w:rsidRPr="00000000">
        <w:rPr>
          <w:rtl w:val="0"/>
        </w:rPr>
        <w:t xml:space="preserve">Runtime fit</w:t>
      </w:r>
    </w:p>
    <w:p w:rsidR="00000000" w:rsidDel="00000000" w:rsidP="00000000" w:rsidRDefault="00000000" w:rsidRPr="00000000" w14:paraId="00000034">
      <w:pPr>
        <w:numPr>
          <w:ilvl w:val="0"/>
          <w:numId w:val="6"/>
        </w:numPr>
        <w:spacing w:after="0" w:afterAutospacing="0" w:before="0" w:beforeAutospacing="0" w:lineRule="auto"/>
        <w:ind w:left="720" w:hanging="360"/>
      </w:pPr>
      <w:r w:rsidDel="00000000" w:rsidR="00000000" w:rsidRPr="00000000">
        <w:rPr>
          <w:rtl w:val="0"/>
        </w:rPr>
        <w:t xml:space="preserve">Economic value</w:t>
      </w:r>
    </w:p>
    <w:p w:rsidR="00000000" w:rsidDel="00000000" w:rsidP="00000000" w:rsidRDefault="00000000" w:rsidRPr="00000000" w14:paraId="00000035">
      <w:pPr>
        <w:numPr>
          <w:ilvl w:val="0"/>
          <w:numId w:val="6"/>
        </w:numPr>
        <w:spacing w:after="240" w:before="0" w:beforeAutospacing="0" w:lineRule="auto"/>
        <w:ind w:left="720" w:hanging="360"/>
      </w:pPr>
      <w:r w:rsidDel="00000000" w:rsidR="00000000" w:rsidRPr="00000000">
        <w:rPr>
          <w:rtl w:val="0"/>
        </w:rPr>
        <w:t xml:space="preserve">Risk penalty</w:t>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i33ts61a7ucw" w:id="8"/>
      <w:bookmarkEnd w:id="8"/>
      <w:r w:rsidDel="00000000" w:rsidR="00000000" w:rsidRPr="00000000">
        <w:rPr>
          <w:b w:val="1"/>
          <w:bCs w:val="1"/>
          <w:color w:val="000000"/>
          <w:sz w:val="26"/>
          <w:szCs w:val="26"/>
          <w:rtl w:val="0"/>
        </w:rPr>
        <w:t xml:space="preserve">The Three-Tier Eval Harness</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b w:val="1"/>
          <w:bCs w:val="1"/>
          <w:rtl w:val="0"/>
        </w:rPr>
        <w:t xml:space="preserve">Tier 1:</w:t>
      </w:r>
      <w:r w:rsidDel="00000000" w:rsidR="00000000" w:rsidRPr="00000000">
        <w:rPr>
          <w:rtl w:val="0"/>
        </w:rPr>
        <w:t xml:space="preserve"> Deterministic format and schema checks (filters 60-70% of errors).</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b w:val="1"/>
          <w:bCs w:val="1"/>
          <w:rtl w:val="0"/>
        </w:rPr>
        <w:t xml:space="preserve">Tier 2:</w:t>
      </w:r>
      <w:r w:rsidDel="00000000" w:rsidR="00000000" w:rsidRPr="00000000">
        <w:rPr>
          <w:rtl w:val="0"/>
        </w:rPr>
        <w:t xml:space="preserve"> Factual accuracy via cross-reference and independent LLM-as-judge.</w:t>
      </w:r>
    </w:p>
    <w:p w:rsidR="00000000" w:rsidDel="00000000" w:rsidP="00000000" w:rsidRDefault="00000000" w:rsidRPr="00000000" w14:paraId="00000039">
      <w:pPr>
        <w:numPr>
          <w:ilvl w:val="0"/>
          <w:numId w:val="2"/>
        </w:numPr>
        <w:spacing w:after="240" w:before="0" w:beforeAutospacing="0" w:lineRule="auto"/>
        <w:ind w:left="720" w:hanging="360"/>
      </w:pPr>
      <w:r w:rsidDel="00000000" w:rsidR="00000000" w:rsidRPr="00000000">
        <w:rPr>
          <w:b w:val="1"/>
          <w:bCs w:val="1"/>
          <w:rtl w:val="0"/>
        </w:rPr>
        <w:t xml:space="preserve">Tier 3:</w:t>
      </w:r>
      <w:r w:rsidDel="00000000" w:rsidR="00000000" w:rsidRPr="00000000">
        <w:rPr>
          <w:rtl w:val="0"/>
        </w:rPr>
        <w:t xml:space="preserve"> Quality judgment via workforce-routed human evaluation, selecting evaluators based on UoP readiness rather than organizational hierarchy.</w:t>
      </w:r>
    </w:p>
    <w:p w:rsidR="00000000" w:rsidDel="00000000" w:rsidP="00000000" w:rsidRDefault="00000000" w:rsidRPr="00000000" w14:paraId="0000003A">
      <w:pPr>
        <w:spacing w:after="240" w:before="240" w:lineRule="auto"/>
        <w:rPr/>
      </w:pPr>
      <w:r w:rsidDel="00000000" w:rsidR="00000000" w:rsidRPr="00000000">
        <w:rPr>
          <w:rtl w:val="0"/>
        </w:rPr>
        <w:t xml:space="preserve">--------------------------------------------------------------------------------</w:t>
      </w:r>
    </w:p>
    <w:p w:rsidR="00000000" w:rsidDel="00000000" w:rsidP="00000000" w:rsidRDefault="00000000" w:rsidRPr="00000000" w14:paraId="0000003B">
      <w:pPr>
        <w:pStyle w:val="Heading2"/>
        <w:keepNext w:val="0"/>
        <w:keepLines w:val="0"/>
        <w:spacing w:after="80" w:lineRule="auto"/>
        <w:rPr>
          <w:b w:val="1"/>
          <w:bCs w:val="1"/>
          <w:sz w:val="34"/>
          <w:szCs w:val="34"/>
        </w:rPr>
      </w:pPr>
      <w:bookmarkStart w:colFirst="0" w:colLast="0" w:name="_96gx8np8j51y" w:id="9"/>
      <w:bookmarkEnd w:id="9"/>
      <w:r w:rsidDel="00000000" w:rsidR="00000000" w:rsidRPr="00000000">
        <w:rPr>
          <w:b w:val="1"/>
          <w:bCs w:val="1"/>
          <w:sz w:val="34"/>
          <w:szCs w:val="34"/>
          <w:rtl w:val="0"/>
        </w:rPr>
        <w:t xml:space="preserve">Strategic Moats and Competitive Positioning</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1rp4ak3xzzgx" w:id="10"/>
      <w:bookmarkEnd w:id="10"/>
      <w:r w:rsidDel="00000000" w:rsidR="00000000" w:rsidRPr="00000000">
        <w:rPr>
          <w:b w:val="1"/>
          <w:bCs w:val="1"/>
          <w:color w:val="000000"/>
          <w:sz w:val="26"/>
          <w:szCs w:val="26"/>
          <w:rtl w:val="0"/>
        </w:rPr>
        <w:t xml:space="preserve">Neutrality Above Runtime Vendors</w:t>
      </w:r>
    </w:p>
    <w:p w:rsidR="00000000" w:rsidDel="00000000" w:rsidP="00000000" w:rsidRDefault="00000000" w:rsidRPr="00000000" w14:paraId="0000003D">
      <w:pPr>
        <w:spacing w:after="240" w:before="240" w:lineRule="auto"/>
        <w:rPr/>
      </w:pPr>
      <w:r w:rsidDel="00000000" w:rsidR="00000000" w:rsidRPr="00000000">
        <w:rPr>
          <w:rtl w:val="0"/>
        </w:rPr>
        <w:t xml:space="preserve">AEOS sits above runtime vendors (like OpenAI or Uniphore). Runtime vendors cannot govern their competitors; OpenAI cannot govern Anthropic, and Uniphore cannot govern Salesforce Agentforce. AEOS provides the "Switzerland" layer required by Fortune 500 companies to manage multi-vendor estates.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pesolze1y7eo" w:id="11"/>
      <w:bookmarkEnd w:id="11"/>
      <w:r w:rsidDel="00000000" w:rsidR="00000000" w:rsidRPr="00000000">
        <w:rPr>
          <w:b w:val="1"/>
          <w:bCs w:val="1"/>
          <w:color w:val="000000"/>
          <w:sz w:val="26"/>
          <w:szCs w:val="26"/>
          <w:rtl w:val="0"/>
        </w:rPr>
        <w:t xml:space="preserve">External Source of Truth (SoR)</w:t>
      </w:r>
    </w:p>
    <w:p w:rsidR="00000000" w:rsidDel="00000000" w:rsidP="00000000" w:rsidRDefault="00000000" w:rsidRPr="00000000" w14:paraId="0000003F">
      <w:pPr>
        <w:spacing w:after="240" w:before="240" w:lineRule="auto"/>
        <w:rPr/>
      </w:pPr>
      <w:r w:rsidDel="00000000" w:rsidR="00000000" w:rsidRPr="00000000">
        <w:rPr>
          <w:rtl w:val="0"/>
        </w:rPr>
        <w:t xml:space="preserve">Unlike competitors whose quality metrics are self-reported from their own telemetry, AEOS reconciles against the customer’s external P&amp;L. A vendor grading itself is not evidence; reconciliation against an external SoR is.</w:t>
      </w:r>
    </w:p>
    <w:p w:rsidR="00000000" w:rsidDel="00000000" w:rsidP="00000000" w:rsidRDefault="00000000" w:rsidRPr="00000000" w14:paraId="00000040">
      <w:pPr>
        <w:pStyle w:val="Heading3"/>
        <w:keepNext w:val="0"/>
        <w:keepLines w:val="0"/>
        <w:spacing w:before="280" w:lineRule="auto"/>
        <w:rPr>
          <w:b w:val="1"/>
          <w:bCs w:val="1"/>
          <w:color w:val="000000"/>
          <w:sz w:val="26"/>
          <w:szCs w:val="26"/>
        </w:rPr>
      </w:pPr>
      <w:bookmarkStart w:colFirst="0" w:colLast="0" w:name="_srtsehcnjff" w:id="12"/>
      <w:bookmarkEnd w:id="12"/>
      <w:r w:rsidDel="00000000" w:rsidR="00000000" w:rsidRPr="00000000">
        <w:rPr>
          <w:b w:val="1"/>
          <w:bCs w:val="1"/>
          <w:color w:val="000000"/>
          <w:sz w:val="26"/>
          <w:szCs w:val="26"/>
          <w:rtl w:val="0"/>
        </w:rPr>
        <w:t xml:space="preserve">Workforce Graph Anchoring</w:t>
      </w:r>
    </w:p>
    <w:p w:rsidR="00000000" w:rsidDel="00000000" w:rsidP="00000000" w:rsidRDefault="00000000" w:rsidRPr="00000000" w14:paraId="00000041">
      <w:pPr>
        <w:spacing w:after="240" w:before="240" w:lineRule="auto"/>
        <w:rPr/>
      </w:pPr>
      <w:r w:rsidDel="00000000" w:rsidR="00000000" w:rsidRPr="00000000">
        <w:rPr>
          <w:rtl w:val="0"/>
        </w:rPr>
        <w:t xml:space="preserve">The inclusion of rPotential’s workforce graph allows AEOS to attribute performance variance to specific human-agent coordination factors (Skills Authority, Coordination Tax). Competitors lack this data and cannot distinguish between "the AI underperformed" and "the AI underperformed because the human responsible for oversight lacked readiness."</w:t>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akasc8n3oa74" w:id="13"/>
      <w:bookmarkEnd w:id="13"/>
      <w:r w:rsidDel="00000000" w:rsidR="00000000" w:rsidRPr="00000000">
        <w:rPr>
          <w:b w:val="1"/>
          <w:bCs w:val="1"/>
          <w:color w:val="000000"/>
          <w:sz w:val="26"/>
          <w:szCs w:val="26"/>
          <w:rtl w:val="0"/>
        </w:rPr>
        <w:t xml:space="preserve">Comparison with Major Competitors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673.296089385475"/>
        <w:gridCol w:w="2244.756584197925"/>
        <w:gridCol w:w="2468.858739026337"/>
        <w:gridCol w:w="2973.0885873902635"/>
        <w:tblGridChange w:id="0">
          <w:tblGrid>
            <w:gridCol w:w="1673.296089385475"/>
            <w:gridCol w:w="2244.756584197925"/>
            <w:gridCol w:w="2468.858739026337"/>
            <w:gridCol w:w="2973.0885873902635"/>
          </w:tblGrid>
        </w:tblGridChange>
      </w:tblGrid>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Feature</w:t>
            </w:r>
          </w:p>
        </w:tc>
        <w:tc>
          <w:tcPr>
            <w:tcMar>
              <w:top w:w="100.0" w:type="dxa"/>
              <w:left w:w="100.0" w:type="dxa"/>
              <w:bottom w:w="100.0" w:type="dxa"/>
              <w:right w:w="100.0" w:type="dxa"/>
            </w:tcMar>
            <w:vAlign w:val="top"/>
          </w:tcPr>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FuzeBox AEOS</w:t>
            </w:r>
          </w:p>
        </w:tc>
        <w:tc>
          <w:tcPr>
            <w:tcMar>
              <w:top w:w="100.0" w:type="dxa"/>
              <w:left w:w="100.0" w:type="dxa"/>
              <w:bottom w:w="100.0" w:type="dxa"/>
              <w:right w:w="100.0" w:type="dxa"/>
            </w:tcMar>
            <w:vAlign w:val="top"/>
          </w:tcPr>
          <w:p w:rsidR="00000000" w:rsidDel="00000000" w:rsidP="00000000" w:rsidRDefault="00000000" w:rsidRPr="00000000" w14:paraId="00000045">
            <w:pPr>
              <w:spacing w:after="240" w:before="240" w:lineRule="auto"/>
              <w:rPr>
                <w:b w:val="1"/>
                <w:bCs w:val="1"/>
              </w:rPr>
            </w:pPr>
            <w:r w:rsidDel="00000000" w:rsidR="00000000" w:rsidRPr="00000000">
              <w:rPr>
                <w:b w:val="1"/>
                <w:bCs w:val="1"/>
                <w:rtl w:val="0"/>
              </w:rPr>
              <w:t xml:space="preserve">Uniphore BAC</w:t>
            </w:r>
          </w:p>
        </w:tc>
        <w:tc>
          <w:tcPr>
            <w:tcMar>
              <w:top w:w="100.0" w:type="dxa"/>
              <w:left w:w="100.0" w:type="dxa"/>
              <w:bottom w:w="100.0" w:type="dxa"/>
              <w:right w:w="100.0" w:type="dxa"/>
            </w:tcMar>
            <w:vAlign w:val="top"/>
          </w:tcPr>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Frontier Labs (OpenAI/Anthropic)</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7">
            <w:pPr>
              <w:spacing w:after="240" w:before="240" w:lineRule="auto"/>
              <w:rPr>
                <w:b w:val="1"/>
                <w:bCs w:val="1"/>
              </w:rPr>
            </w:pPr>
            <w:r w:rsidDel="00000000" w:rsidR="00000000" w:rsidRPr="00000000">
              <w:rPr>
                <w:b w:val="1"/>
                <w:bCs w:val="1"/>
                <w:rtl w:val="0"/>
              </w:rPr>
              <w:t xml:space="preserve">Neutrality</w:t>
            </w:r>
          </w:p>
        </w:tc>
        <w:tc>
          <w:tcPr>
            <w:tcMar>
              <w:top w:w="100.0" w:type="dxa"/>
              <w:left w:w="100.0" w:type="dxa"/>
              <w:bottom w:w="100.0" w:type="dxa"/>
              <w:right w:w="100.0" w:type="dxa"/>
            </w:tcMar>
            <w:vAlign w:val="top"/>
          </w:tcPr>
          <w:p w:rsidR="00000000" w:rsidDel="00000000" w:rsidP="00000000" w:rsidRDefault="00000000" w:rsidRPr="00000000" w14:paraId="00000048">
            <w:pPr>
              <w:spacing w:after="240" w:before="240" w:lineRule="auto"/>
              <w:rPr/>
            </w:pPr>
            <w:r w:rsidDel="00000000" w:rsidR="00000000" w:rsidRPr="00000000">
              <w:rPr>
                <w:rtl w:val="0"/>
              </w:rPr>
              <w:t xml:space="preserve">Cross-vendor (observes all)</w:t>
            </w:r>
          </w:p>
        </w:tc>
        <w:tc>
          <w:tcPr>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pPr>
            <w:r w:rsidDel="00000000" w:rsidR="00000000" w:rsidRPr="00000000">
              <w:rPr>
                <w:rtl w:val="0"/>
              </w:rPr>
              <w:t xml:space="preserve">Runtime vendor (governs self)</w:t>
            </w:r>
          </w:p>
        </w:tc>
        <w:tc>
          <w:tcPr>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pPr>
            <w:r w:rsidDel="00000000" w:rsidR="00000000" w:rsidRPr="00000000">
              <w:rPr>
                <w:rtl w:val="0"/>
              </w:rPr>
              <w:t xml:space="preserve">Runtime vendor (governs self)</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Workforce Graph</w:t>
            </w:r>
          </w:p>
        </w:tc>
        <w:tc>
          <w:tcPr>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pPr>
            <w:r w:rsidDel="00000000" w:rsidR="00000000" w:rsidRPr="00000000">
              <w:rPr>
                <w:rtl w:val="0"/>
              </w:rPr>
              <w:t xml:space="preserve">Integrated (rPotential)</w:t>
            </w:r>
          </w:p>
        </w:tc>
        <w:tc>
          <w:tcPr>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pPr>
            <w:r w:rsidDel="00000000" w:rsidR="00000000" w:rsidRPr="00000000">
              <w:rPr>
                <w:rtl w:val="0"/>
              </w:rPr>
              <w:t xml:space="preserve">None</w:t>
            </w:r>
          </w:p>
        </w:tc>
        <w:tc>
          <w:tcPr>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pPr>
            <w:r w:rsidDel="00000000" w:rsidR="00000000" w:rsidRPr="00000000">
              <w:rPr>
                <w:rtl w:val="0"/>
              </w:rPr>
              <w:t xml:space="preserve">None</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Outcome Sourcing</w:t>
            </w:r>
          </w:p>
        </w:tc>
        <w:tc>
          <w:tcPr>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pPr>
            <w:r w:rsidDel="00000000" w:rsidR="00000000" w:rsidRPr="00000000">
              <w:rPr>
                <w:rtl w:val="0"/>
              </w:rPr>
              <w:t xml:space="preserve">External (CRM/ERP)</w:t>
            </w:r>
          </w:p>
        </w:tc>
        <w:tc>
          <w:tcPr>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pPr>
            <w:r w:rsidDel="00000000" w:rsidR="00000000" w:rsidRPr="00000000">
              <w:rPr>
                <w:rtl w:val="0"/>
              </w:rPr>
              <w:t xml:space="preserve">Internal telemetry</w:t>
            </w:r>
          </w:p>
        </w:tc>
        <w:tc>
          <w:tcPr>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pPr>
            <w:r w:rsidDel="00000000" w:rsidR="00000000" w:rsidRPr="00000000">
              <w:rPr>
                <w:rtl w:val="0"/>
              </w:rPr>
              <w:t xml:space="preserve">Inference cost only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Attestation</w:t>
            </w:r>
          </w:p>
        </w:tc>
        <w:tc>
          <w:tcPr>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pPr>
            <w:r w:rsidDel="00000000" w:rsidR="00000000" w:rsidRPr="00000000">
              <w:rPr>
                <w:rtl w:val="0"/>
              </w:rPr>
              <w:t xml:space="preserve">Two-party co-signed</w:t>
            </w:r>
          </w:p>
        </w:tc>
        <w:tc>
          <w:tcPr>
            <w:tcMar>
              <w:top w:w="100.0" w:type="dxa"/>
              <w:left w:w="100.0" w:type="dxa"/>
              <w:bottom w:w="100.0" w:type="dxa"/>
              <w:right w:w="100.0" w:type="dxa"/>
            </w:tcMar>
            <w:vAlign w:val="top"/>
          </w:tcPr>
          <w:p w:rsidR="00000000" w:rsidDel="00000000" w:rsidP="00000000" w:rsidRDefault="00000000" w:rsidRPr="00000000" w14:paraId="00000055">
            <w:pPr>
              <w:spacing w:after="240" w:before="240" w:lineRule="auto"/>
              <w:rPr/>
            </w:pPr>
            <w:r w:rsidDel="00000000" w:rsidR="00000000" w:rsidRPr="00000000">
              <w:rPr>
                <w:rtl w:val="0"/>
              </w:rPr>
              <w:t xml:space="preserve">Single-party</w:t>
            </w:r>
          </w:p>
        </w:tc>
        <w:tc>
          <w:tcPr>
            <w:tcMar>
              <w:top w:w="100.0" w:type="dxa"/>
              <w:left w:w="100.0" w:type="dxa"/>
              <w:bottom w:w="100.0" w:type="dxa"/>
              <w:right w:w="100.0" w:type="dxa"/>
            </w:tcMar>
            <w:vAlign w:val="top"/>
          </w:tcPr>
          <w:p w:rsidR="00000000" w:rsidDel="00000000" w:rsidP="00000000" w:rsidRDefault="00000000" w:rsidRPr="00000000" w14:paraId="00000056">
            <w:pPr>
              <w:spacing w:after="240" w:before="240" w:lineRule="auto"/>
              <w:rPr/>
            </w:pPr>
            <w:r w:rsidDel="00000000" w:rsidR="00000000" w:rsidRPr="00000000">
              <w:rPr>
                <w:rtl w:val="0"/>
              </w:rPr>
              <w:t xml:space="preserve">Single-party</w:t>
            </w:r>
          </w:p>
        </w:tc>
      </w:tr>
      <w:tr>
        <w:trPr>
          <w:cantSplit w:val="0"/>
          <w:trHeight w:val="515" w:hRule="atLeast"/>
          <w:tblHeader w:val="0"/>
        </w:trPr>
        <w:tc>
          <w:tcPr>
            <w:tcMar>
              <w:top w:w="100.0" w:type="dxa"/>
              <w:left w:w="100.0" w:type="dxa"/>
              <w:bottom w:w="100.0" w:type="dxa"/>
              <w:right w:w="100.0" w:type="dxa"/>
            </w:tcMar>
            <w:vAlign w:val="top"/>
          </w:tcPr>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Correction</w:t>
            </w:r>
          </w:p>
        </w:tc>
        <w:tc>
          <w:tcPr>
            <w:tcMar>
              <w:top w:w="100.0" w:type="dxa"/>
              <w:left w:w="100.0" w:type="dxa"/>
              <w:bottom w:w="100.0" w:type="dxa"/>
              <w:right w:w="100.0" w:type="dxa"/>
            </w:tcMar>
            <w:vAlign w:val="top"/>
          </w:tcPr>
          <w:p w:rsidR="00000000" w:rsidDel="00000000" w:rsidP="00000000" w:rsidRDefault="00000000" w:rsidRPr="00000000" w14:paraId="00000058">
            <w:pPr>
              <w:spacing w:after="240" w:before="240" w:lineRule="auto"/>
              <w:rPr/>
            </w:pPr>
            <w:r w:rsidDel="00000000" w:rsidR="00000000" w:rsidRPr="00000000">
              <w:rPr>
                <w:rtl w:val="0"/>
              </w:rPr>
              <w:t xml:space="preserve">Cross-vendor propagation</w:t>
            </w:r>
          </w:p>
        </w:tc>
        <w:tc>
          <w:tcPr>
            <w:tcMar>
              <w:top w:w="100.0" w:type="dxa"/>
              <w:left w:w="100.0" w:type="dxa"/>
              <w:bottom w:w="100.0" w:type="dxa"/>
              <w:right w:w="100.0" w:type="dxa"/>
            </w:tcMar>
            <w:vAlign w:val="top"/>
          </w:tcPr>
          <w:p w:rsidR="00000000" w:rsidDel="00000000" w:rsidP="00000000" w:rsidRDefault="00000000" w:rsidRPr="00000000" w14:paraId="00000059">
            <w:pPr>
              <w:spacing w:after="240" w:before="240" w:lineRule="auto"/>
              <w:rPr/>
            </w:pPr>
            <w:r w:rsidDel="00000000" w:rsidR="00000000" w:rsidRPr="00000000">
              <w:rPr>
                <w:rtl w:val="0"/>
              </w:rPr>
              <w:t xml:space="preserve">Internal only</w:t>
            </w:r>
          </w:p>
        </w:tc>
        <w:tc>
          <w:tcPr>
            <w:tcMar>
              <w:top w:w="100.0" w:type="dxa"/>
              <w:left w:w="100.0" w:type="dxa"/>
              <w:bottom w:w="100.0" w:type="dxa"/>
              <w:right w:w="100.0" w:type="dxa"/>
            </w:tcMar>
            <w:vAlign w:val="top"/>
          </w:tcPr>
          <w:p w:rsidR="00000000" w:rsidDel="00000000" w:rsidP="00000000" w:rsidRDefault="00000000" w:rsidRPr="00000000" w14:paraId="0000005A">
            <w:pPr>
              <w:spacing w:after="240" w:before="240" w:lineRule="auto"/>
              <w:rPr/>
            </w:pPr>
            <w:r w:rsidDel="00000000" w:rsidR="00000000" w:rsidRPr="00000000">
              <w:rPr>
                <w:rtl w:val="0"/>
              </w:rPr>
              <w:t xml:space="preserve">Internal only</w:t>
            </w:r>
          </w:p>
        </w:tc>
      </w:tr>
    </w:tbl>
    <w:p w:rsidR="00000000" w:rsidDel="00000000" w:rsidP="00000000" w:rsidRDefault="00000000" w:rsidRPr="00000000" w14:paraId="0000005B">
      <w:pPr>
        <w:spacing w:after="240" w:before="240" w:lineRule="auto"/>
        <w:rPr/>
      </w:pPr>
      <w:r w:rsidDel="00000000" w:rsidR="00000000" w:rsidRPr="00000000">
        <w:rPr>
          <w:rtl w:val="0"/>
        </w:rPr>
        <w:t xml:space="preserve">--------------------------------------------------------------------------------</w:t>
      </w:r>
    </w:p>
    <w:p w:rsidR="00000000" w:rsidDel="00000000" w:rsidP="00000000" w:rsidRDefault="00000000" w:rsidRPr="00000000" w14:paraId="0000005C">
      <w:pPr>
        <w:pStyle w:val="Heading2"/>
        <w:keepNext w:val="0"/>
        <w:keepLines w:val="0"/>
        <w:spacing w:after="80" w:lineRule="auto"/>
        <w:rPr>
          <w:b w:val="1"/>
          <w:bCs w:val="1"/>
          <w:sz w:val="34"/>
          <w:szCs w:val="34"/>
        </w:rPr>
      </w:pPr>
      <w:bookmarkStart w:colFirst="0" w:colLast="0" w:name="_owpqes392bvd" w:id="14"/>
      <w:bookmarkEnd w:id="14"/>
      <w:r w:rsidDel="00000000" w:rsidR="00000000" w:rsidRPr="00000000">
        <w:rPr>
          <w:b w:val="1"/>
          <w:bCs w:val="1"/>
          <w:sz w:val="34"/>
          <w:szCs w:val="34"/>
          <w:rtl w:val="0"/>
        </w:rPr>
        <w:t xml:space="preserve">Intellectual Property: Patent Family 8</w:t>
      </w:r>
    </w:p>
    <w:p w:rsidR="00000000" w:rsidDel="00000000" w:rsidP="00000000" w:rsidRDefault="00000000" w:rsidRPr="00000000" w14:paraId="0000005D">
      <w:pPr>
        <w:spacing w:after="240" w:before="240" w:lineRule="auto"/>
        <w:rPr/>
      </w:pPr>
      <w:r w:rsidDel="00000000" w:rsidR="00000000" w:rsidRPr="00000000">
        <w:rPr>
          <w:rtl w:val="0"/>
        </w:rPr>
        <w:t xml:space="preserve">Patent Family 8, titled </w:t>
      </w:r>
      <w:r w:rsidDel="00000000" w:rsidR="00000000" w:rsidRPr="00000000">
        <w:rPr>
          <w:i w:val="1"/>
          <w:iCs w:val="1"/>
          <w:rtl w:val="0"/>
        </w:rPr>
        <w:t xml:space="preserve">"Cross-Vendor Observation and Realtime Correction of Agentic Execution via Predictive Economic Ledger with Two-Party Signed Attestation,"</w:t>
      </w:r>
      <w:r w:rsidDel="00000000" w:rsidR="00000000" w:rsidRPr="00000000">
        <w:rPr>
          <w:rtl w:val="0"/>
        </w:rPr>
        <w:t xml:space="preserve"> is the decisive claim in the FuzeBox portfolio. It covers the combination of:</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rtl w:val="0"/>
        </w:rPr>
        <w:t xml:space="preserve">Ingesting normalized telemetry from multiple runtime vendors.</w:t>
      </w:r>
    </w:p>
    <w:p w:rsidR="00000000" w:rsidDel="00000000" w:rsidP="00000000" w:rsidRDefault="00000000" w:rsidRPr="00000000" w14:paraId="0000005F">
      <w:pPr>
        <w:numPr>
          <w:ilvl w:val="0"/>
          <w:numId w:val="3"/>
        </w:numPr>
        <w:spacing w:after="0" w:afterAutospacing="0" w:before="0" w:beforeAutospacing="0" w:lineRule="auto"/>
        <w:ind w:left="720" w:hanging="360"/>
      </w:pPr>
      <w:r w:rsidDel="00000000" w:rsidR="00000000" w:rsidRPr="00000000">
        <w:rPr>
          <w:rtl w:val="0"/>
        </w:rPr>
        <w:t xml:space="preserve">Computing predicted outcomes signed by an operator.</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rtl w:val="0"/>
        </w:rPr>
        <w:t xml:space="preserve">Receiving actual outcomes from external SoRs co-signed by an independent party.</w:t>
      </w:r>
    </w:p>
    <w:p w:rsidR="00000000" w:rsidDel="00000000" w:rsidP="00000000" w:rsidRDefault="00000000" w:rsidRPr="00000000" w14:paraId="00000061">
      <w:pPr>
        <w:numPr>
          <w:ilvl w:val="0"/>
          <w:numId w:val="3"/>
        </w:numPr>
        <w:spacing w:after="0" w:afterAutospacing="0" w:before="0" w:beforeAutospacing="0" w:lineRule="auto"/>
        <w:ind w:left="720" w:hanging="360"/>
      </w:pPr>
      <w:r w:rsidDel="00000000" w:rsidR="00000000" w:rsidRPr="00000000">
        <w:rPr>
          <w:rtl w:val="0"/>
        </w:rPr>
        <w:t xml:space="preserve">Dual-trigger variance (technical and economic).</w:t>
      </w:r>
    </w:p>
    <w:p w:rsidR="00000000" w:rsidDel="00000000" w:rsidP="00000000" w:rsidRDefault="00000000" w:rsidRPr="00000000" w14:paraId="00000062">
      <w:pPr>
        <w:numPr>
          <w:ilvl w:val="0"/>
          <w:numId w:val="3"/>
        </w:numPr>
        <w:spacing w:after="0" w:afterAutospacing="0" w:before="0" w:beforeAutospacing="0" w:lineRule="auto"/>
        <w:ind w:left="720" w:hanging="360"/>
      </w:pPr>
      <w:r w:rsidDel="00000000" w:rsidR="00000000" w:rsidRPr="00000000">
        <w:rPr>
          <w:rtl w:val="0"/>
        </w:rPr>
        <w:t xml:space="preserve">Workforce-graph-anchored attribution.</w:t>
      </w:r>
    </w:p>
    <w:p w:rsidR="00000000" w:rsidDel="00000000" w:rsidP="00000000" w:rsidRDefault="00000000" w:rsidRPr="00000000" w14:paraId="00000063">
      <w:pPr>
        <w:numPr>
          <w:ilvl w:val="0"/>
          <w:numId w:val="3"/>
        </w:numPr>
        <w:spacing w:after="240" w:before="0" w:beforeAutospacing="0" w:lineRule="auto"/>
        <w:ind w:left="720" w:hanging="360"/>
      </w:pPr>
      <w:r w:rsidDel="00000000" w:rsidR="00000000" w:rsidRPr="00000000">
        <w:rPr>
          <w:rtl w:val="0"/>
        </w:rPr>
        <w:t xml:space="preserve">Realtime cross-vendor patch propagation.</w:t>
      </w:r>
    </w:p>
    <w:p w:rsidR="00000000" w:rsidDel="00000000" w:rsidP="00000000" w:rsidRDefault="00000000" w:rsidRPr="00000000" w14:paraId="00000064">
      <w:pPr>
        <w:spacing w:after="240" w:before="240" w:lineRule="auto"/>
        <w:rPr/>
      </w:pPr>
      <w:r w:rsidDel="00000000" w:rsidR="00000000" w:rsidRPr="00000000">
        <w:rPr>
          <w:rtl w:val="0"/>
        </w:rPr>
        <w:t xml:space="preserve">--------------------------------------------------------------------------------</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9qk3tmj67d8h" w:id="15"/>
      <w:bookmarkEnd w:id="15"/>
      <w:r w:rsidDel="00000000" w:rsidR="00000000" w:rsidRPr="00000000">
        <w:rPr>
          <w:b w:val="1"/>
          <w:bCs w:val="1"/>
          <w:sz w:val="34"/>
          <w:szCs w:val="34"/>
          <w:rtl w:val="0"/>
        </w:rPr>
        <w:t xml:space="preserve">Implementation and Reduction to Practice</w:t>
      </w:r>
    </w:p>
    <w:p w:rsidR="00000000" w:rsidDel="00000000" w:rsidP="00000000" w:rsidRDefault="00000000" w:rsidRPr="00000000" w14:paraId="00000066">
      <w:pPr>
        <w:pStyle w:val="Heading3"/>
        <w:keepNext w:val="0"/>
        <w:keepLines w:val="0"/>
        <w:spacing w:before="280" w:lineRule="auto"/>
        <w:rPr>
          <w:b w:val="1"/>
          <w:bCs w:val="1"/>
          <w:color w:val="000000"/>
          <w:sz w:val="26"/>
          <w:szCs w:val="26"/>
        </w:rPr>
      </w:pPr>
      <w:bookmarkStart w:colFirst="0" w:colLast="0" w:name="_90p77klmv6nv" w:id="16"/>
      <w:bookmarkEnd w:id="16"/>
      <w:r w:rsidDel="00000000" w:rsidR="00000000" w:rsidRPr="00000000">
        <w:rPr>
          <w:b w:val="1"/>
          <w:bCs w:val="1"/>
          <w:color w:val="000000"/>
          <w:sz w:val="26"/>
          <w:szCs w:val="26"/>
          <w:rtl w:val="0"/>
        </w:rPr>
        <w:t xml:space="preserve">Live Demo: vipsigma.arkos.studio</w:t>
      </w:r>
    </w:p>
    <w:p w:rsidR="00000000" w:rsidDel="00000000" w:rsidP="00000000" w:rsidRDefault="00000000" w:rsidRPr="00000000" w14:paraId="00000067">
      <w:pPr>
        <w:spacing w:after="240" w:before="240" w:lineRule="auto"/>
        <w:rPr/>
      </w:pPr>
      <w:r w:rsidDel="00000000" w:rsidR="00000000" w:rsidRPr="00000000">
        <w:rPr>
          <w:rtl w:val="0"/>
        </w:rPr>
        <w:t xml:space="preserve">The system is currently operational, measuring two O*NET-coded labor roles:</w:t>
      </w:r>
    </w:p>
    <w:p w:rsidR="00000000" w:rsidDel="00000000" w:rsidP="00000000" w:rsidRDefault="00000000" w:rsidRPr="00000000" w14:paraId="00000068">
      <w:pPr>
        <w:numPr>
          <w:ilvl w:val="0"/>
          <w:numId w:val="4"/>
        </w:numPr>
        <w:spacing w:after="0" w:afterAutospacing="0" w:before="240" w:lineRule="auto"/>
        <w:ind w:left="720" w:hanging="360"/>
      </w:pPr>
      <w:r w:rsidDel="00000000" w:rsidR="00000000" w:rsidRPr="00000000">
        <w:rPr>
          <w:b w:val="1"/>
          <w:bCs w:val="1"/>
          <w:rtl w:val="0"/>
        </w:rPr>
        <w:t xml:space="preserve">Sports Betting Analyst (13-2099.01)</w:t>
      </w:r>
    </w:p>
    <w:p w:rsidR="00000000" w:rsidDel="00000000" w:rsidP="00000000" w:rsidRDefault="00000000" w:rsidRPr="00000000" w14:paraId="00000069">
      <w:pPr>
        <w:numPr>
          <w:ilvl w:val="0"/>
          <w:numId w:val="4"/>
        </w:numPr>
        <w:spacing w:after="240" w:before="0" w:beforeAutospacing="0" w:lineRule="auto"/>
        <w:ind w:left="720" w:hanging="360"/>
      </w:pPr>
      <w:r w:rsidDel="00000000" w:rsidR="00000000" w:rsidRPr="00000000">
        <w:rPr>
          <w:b w:val="1"/>
          <w:bCs w:val="1"/>
          <w:rtl w:val="0"/>
        </w:rPr>
        <w:t xml:space="preserve">Customer Service Representative (43-4051.00)</w:t>
      </w:r>
    </w:p>
    <w:p w:rsidR="00000000" w:rsidDel="00000000" w:rsidP="00000000" w:rsidRDefault="00000000" w:rsidRPr="00000000" w14:paraId="0000006A">
      <w:pPr>
        <w:spacing w:after="240" w:before="240" w:lineRule="auto"/>
        <w:rPr/>
      </w:pPr>
      <w:r w:rsidDel="00000000" w:rsidR="00000000" w:rsidRPr="00000000">
        <w:rPr>
          <w:rtl w:val="0"/>
        </w:rPr>
        <w:t xml:space="preserve">The demo utilizes four agents across three vendors (Claude 3.5 Sonnet, GPT-4o, GPT-4o-mini) and demonstrates live dollar impact, audit trails, and ISO/IEC 42001/EU AI Act compliance postures.</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byw4cm6u3cn8" w:id="17"/>
      <w:bookmarkEnd w:id="17"/>
      <w:r w:rsidDel="00000000" w:rsidR="00000000" w:rsidRPr="00000000">
        <w:rPr>
          <w:b w:val="1"/>
          <w:bCs w:val="1"/>
          <w:color w:val="000000"/>
          <w:sz w:val="26"/>
          <w:szCs w:val="26"/>
          <w:rtl w:val="0"/>
        </w:rPr>
        <w:t xml:space="preserve">Production Build Timeline (6 Weeks)</w:t>
      </w:r>
    </w:p>
    <w:p w:rsidR="00000000" w:rsidDel="00000000" w:rsidP="00000000" w:rsidRDefault="00000000" w:rsidRPr="00000000" w14:paraId="0000006C">
      <w:pPr>
        <w:numPr>
          <w:ilvl w:val="0"/>
          <w:numId w:val="1"/>
        </w:numPr>
        <w:spacing w:after="0" w:afterAutospacing="0" w:before="240" w:lineRule="auto"/>
        <w:ind w:left="720" w:hanging="360"/>
      </w:pPr>
      <w:r w:rsidDel="00000000" w:rsidR="00000000" w:rsidRPr="00000000">
        <w:rPr>
          <w:b w:val="1"/>
          <w:bCs w:val="1"/>
          <w:rtl w:val="0"/>
        </w:rPr>
        <w:t xml:space="preserve">Weeks 1-2:</w:t>
      </w:r>
      <w:r w:rsidDel="00000000" w:rsidR="00000000" w:rsidRPr="00000000">
        <w:rPr>
          <w:rtl w:val="0"/>
        </w:rPr>
        <w:t xml:space="preserve"> Deploy cross-vendor observation adapters for top 10 targets; publish Coverage Manifest.</w:t>
      </w:r>
    </w:p>
    <w:p w:rsidR="00000000" w:rsidDel="00000000" w:rsidP="00000000" w:rsidRDefault="00000000" w:rsidRPr="00000000" w14:paraId="0000006D">
      <w:pPr>
        <w:numPr>
          <w:ilvl w:val="0"/>
          <w:numId w:val="1"/>
        </w:numPr>
        <w:spacing w:after="0" w:afterAutospacing="0" w:before="0" w:beforeAutospacing="0" w:lineRule="auto"/>
        <w:ind w:left="720" w:hanging="360"/>
      </w:pPr>
      <w:r w:rsidDel="00000000" w:rsidR="00000000" w:rsidRPr="00000000">
        <w:rPr>
          <w:b w:val="1"/>
          <w:bCs w:val="1"/>
          <w:rtl w:val="0"/>
        </w:rPr>
        <w:t xml:space="preserve">Weeks 3-4:</w:t>
      </w:r>
      <w:r w:rsidDel="00000000" w:rsidR="00000000" w:rsidRPr="00000000">
        <w:rPr>
          <w:rtl w:val="0"/>
        </w:rPr>
        <w:t xml:space="preserve"> Harden SoR connector framework for CRM, ERP, and financial ledgers.</w:t>
      </w:r>
    </w:p>
    <w:p w:rsidR="00000000" w:rsidDel="00000000" w:rsidP="00000000" w:rsidRDefault="00000000" w:rsidRPr="00000000" w14:paraId="0000006E">
      <w:pPr>
        <w:numPr>
          <w:ilvl w:val="0"/>
          <w:numId w:val="1"/>
        </w:numPr>
        <w:spacing w:after="0" w:afterAutospacing="0" w:before="0" w:beforeAutospacing="0" w:lineRule="auto"/>
        <w:ind w:left="720" w:hanging="360"/>
      </w:pPr>
      <w:r w:rsidDel="00000000" w:rsidR="00000000" w:rsidRPr="00000000">
        <w:rPr>
          <w:b w:val="1"/>
          <w:bCs w:val="1"/>
          <w:rtl w:val="0"/>
        </w:rPr>
        <w:t xml:space="preserve">Week 5:</w:t>
      </w:r>
      <w:r w:rsidDel="00000000" w:rsidR="00000000" w:rsidRPr="00000000">
        <w:rPr>
          <w:rtl w:val="0"/>
        </w:rPr>
        <w:t xml:space="preserve"> Launch full attribution reasoning engine and wire realtime injection across all vendor stacks.</w:t>
      </w:r>
    </w:p>
    <w:p w:rsidR="00000000" w:rsidDel="00000000" w:rsidP="00000000" w:rsidRDefault="00000000" w:rsidRPr="00000000" w14:paraId="0000006F">
      <w:pPr>
        <w:numPr>
          <w:ilvl w:val="0"/>
          <w:numId w:val="1"/>
        </w:numPr>
        <w:spacing w:after="240" w:before="0" w:beforeAutospacing="0" w:lineRule="auto"/>
        <w:ind w:left="720" w:hanging="360"/>
      </w:pPr>
      <w:r w:rsidDel="00000000" w:rsidR="00000000" w:rsidRPr="00000000">
        <w:rPr>
          <w:b w:val="1"/>
          <w:bCs w:val="1"/>
          <w:rtl w:val="0"/>
        </w:rPr>
        <w:t xml:space="preserve">Week 6:</w:t>
      </w:r>
      <w:r w:rsidDel="00000000" w:rsidR="00000000" w:rsidRPr="00000000">
        <w:rPr>
          <w:rtl w:val="0"/>
        </w:rPr>
        <w:t xml:space="preserve"> Deploy aggregate reporting and multi-tenant isolation.</w:t>
      </w:r>
    </w:p>
    <w:p w:rsidR="00000000" w:rsidDel="00000000" w:rsidP="00000000" w:rsidRDefault="00000000" w:rsidRPr="00000000" w14:paraId="00000070">
      <w:pPr>
        <w:pStyle w:val="Heading3"/>
        <w:keepNext w:val="0"/>
        <w:keepLines w:val="0"/>
        <w:spacing w:before="280" w:lineRule="auto"/>
        <w:rPr>
          <w:b w:val="1"/>
          <w:bCs w:val="1"/>
          <w:color w:val="000000"/>
          <w:sz w:val="26"/>
          <w:szCs w:val="26"/>
        </w:rPr>
      </w:pPr>
      <w:bookmarkStart w:colFirst="0" w:colLast="0" w:name="_wpdqhn9orxib" w:id="18"/>
      <w:bookmarkEnd w:id="18"/>
      <w:r w:rsidDel="00000000" w:rsidR="00000000" w:rsidRPr="00000000">
        <w:rPr>
          <w:b w:val="1"/>
          <w:bCs w:val="1"/>
          <w:color w:val="000000"/>
          <w:sz w:val="26"/>
          <w:szCs w:val="26"/>
          <w:rtl w:val="0"/>
        </w:rPr>
        <w:t xml:space="preserve">Compliance Posture</w:t>
      </w:r>
    </w:p>
    <w:p w:rsidR="00000000" w:rsidDel="00000000" w:rsidP="00000000" w:rsidRDefault="00000000" w:rsidRPr="00000000" w14:paraId="00000071">
      <w:pPr>
        <w:spacing w:after="240" w:before="240" w:lineRule="auto"/>
        <w:rPr/>
      </w:pPr>
      <w:r w:rsidDel="00000000" w:rsidR="00000000" w:rsidRPr="00000000">
        <w:rPr>
          <w:rtl w:val="0"/>
        </w:rPr>
        <w:t xml:space="preserve">AEOS attestation bundles are configured for audit use under:</w:t>
      </w:r>
    </w:p>
    <w:p w:rsidR="00000000" w:rsidDel="00000000" w:rsidP="00000000" w:rsidRDefault="00000000" w:rsidRPr="00000000" w14:paraId="00000072">
      <w:pPr>
        <w:numPr>
          <w:ilvl w:val="0"/>
          <w:numId w:val="5"/>
        </w:numPr>
        <w:spacing w:after="0" w:afterAutospacing="0" w:before="240" w:lineRule="auto"/>
        <w:ind w:left="720" w:hanging="360"/>
      </w:pPr>
      <w:r w:rsidDel="00000000" w:rsidR="00000000" w:rsidRPr="00000000">
        <w:rPr>
          <w:b w:val="1"/>
          <w:bCs w:val="1"/>
          <w:rtl w:val="0"/>
        </w:rPr>
        <w:t xml:space="preserve">EU AI Act Article 14</w:t>
      </w:r>
    </w:p>
    <w:p w:rsidR="00000000" w:rsidDel="00000000" w:rsidP="00000000" w:rsidRDefault="00000000" w:rsidRPr="00000000" w14:paraId="00000073">
      <w:pPr>
        <w:numPr>
          <w:ilvl w:val="0"/>
          <w:numId w:val="5"/>
        </w:numPr>
        <w:spacing w:after="0" w:afterAutospacing="0" w:before="0" w:beforeAutospacing="0" w:lineRule="auto"/>
        <w:ind w:left="720" w:hanging="360"/>
      </w:pPr>
      <w:r w:rsidDel="00000000" w:rsidR="00000000" w:rsidRPr="00000000">
        <w:rPr>
          <w:b w:val="1"/>
          <w:bCs w:val="1"/>
          <w:rtl w:val="0"/>
        </w:rPr>
        <w:t xml:space="preserve">ISO/IEC 42001</w:t>
      </w:r>
    </w:p>
    <w:p w:rsidR="00000000" w:rsidDel="00000000" w:rsidP="00000000" w:rsidRDefault="00000000" w:rsidRPr="00000000" w14:paraId="00000074">
      <w:pPr>
        <w:numPr>
          <w:ilvl w:val="0"/>
          <w:numId w:val="5"/>
        </w:numPr>
        <w:spacing w:after="0" w:afterAutospacing="0" w:before="0" w:beforeAutospacing="0" w:lineRule="auto"/>
        <w:ind w:left="720" w:hanging="360"/>
      </w:pPr>
      <w:r w:rsidDel="00000000" w:rsidR="00000000" w:rsidRPr="00000000">
        <w:rPr>
          <w:b w:val="1"/>
          <w:bCs w:val="1"/>
          <w:rtl w:val="0"/>
        </w:rPr>
        <w:t xml:space="preserve">UNECE WP.29</w:t>
      </w:r>
    </w:p>
    <w:p w:rsidR="00000000" w:rsidDel="00000000" w:rsidP="00000000" w:rsidRDefault="00000000" w:rsidRPr="00000000" w14:paraId="00000075">
      <w:pPr>
        <w:numPr>
          <w:ilvl w:val="0"/>
          <w:numId w:val="5"/>
        </w:numPr>
        <w:spacing w:after="240" w:before="0" w:beforeAutospacing="0" w:lineRule="auto"/>
        <w:ind w:left="720" w:hanging="360"/>
      </w:pPr>
      <w:r w:rsidDel="00000000" w:rsidR="00000000" w:rsidRPr="00000000">
        <w:rPr>
          <w:b w:val="1"/>
          <w:bCs w:val="1"/>
          <w:rtl w:val="0"/>
        </w:rPr>
        <w:t xml:space="preserve">MAS TRM (APAC)</w:t>
      </w:r>
    </w:p>
    <w:p w:rsidR="00000000" w:rsidDel="00000000" w:rsidP="00000000" w:rsidRDefault="00000000" w:rsidRPr="00000000" w14:paraId="0000007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