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a41r865yn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Predictive Economic Ledger: Turning AI Data into Economic Stories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cfs1noa0e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Introduction: From Raw Data to Proof of Outcome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the traditional software paradigm, success is measured by technical health: uptime, latency, and error-free API calls. In the era of autonomous agents, these metrics are insufficient. As AI moves into the seat of the decision-maker, the curriculum must shift from "Did the agent execute?" to </w:t>
      </w:r>
      <w:r w:rsidDel="00000000" w:rsidR="00000000" w:rsidRPr="00000000">
        <w:rPr>
          <w:b w:val="1"/>
          <w:bCs w:val="1"/>
          <w:rtl w:val="0"/>
        </w:rPr>
        <w:t xml:space="preserve">"Did the decision generate the predicted economic value?"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Predictive Economic Ledger (PEL)</w:t>
      </w:r>
      <w:r w:rsidDel="00000000" w:rsidR="00000000" w:rsidRPr="00000000">
        <w:rPr>
          <w:rtl w:val="0"/>
        </w:rPr>
        <w:t xml:space="preserve"> is the core economic asset of the FuzeBox AEOS platform. It moves the learner beyond technical telemetry into the realm of financial accountability. By reconciling every AI action against real-world results, the PEL provides the foundation for what we define as </w:t>
      </w:r>
      <w:r w:rsidDel="00000000" w:rsidR="00000000" w:rsidRPr="00000000">
        <w:rPr>
          <w:b w:val="1"/>
          <w:bCs w:val="1"/>
          <w:rtl w:val="0"/>
        </w:rPr>
        <w:t xml:space="preserve">Proof of Outcome.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legally defensible, cryptographically signed evidence that a specific AI decision resulted in a verified financial or operational result. This proof is derived by reconciling internal predictions against external Systems of Record (SoR) and is jointly attested by independent parties.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fundamental building block of this economic story is the </w:t>
      </w:r>
      <w:r w:rsidDel="00000000" w:rsidR="00000000" w:rsidRPr="00000000">
        <w:rPr>
          <w:b w:val="1"/>
          <w:bCs w:val="1"/>
          <w:rtl w:val="0"/>
        </w:rPr>
        <w:t xml:space="preserve">LedgerRow</w:t>
      </w:r>
      <w:r w:rsidDel="00000000" w:rsidR="00000000" w:rsidRPr="00000000">
        <w:rPr>
          <w:rtl w:val="0"/>
        </w:rPr>
        <w:t xml:space="preserve">. Each execution produces a LedgerRow containing five specialized substructures that ensure the AI is not just functional, but economically viable.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achieve this accountability, the system must begin with a baseline: the Prediction.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5oj5tm2mt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Component 1: Predicted (The Forward-Looking Guess)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"Predicted" component is the estimated profit or loss, expressed in USD, generated at the exact millisecond of an AI decision. This is not a vague forecast; it is a locked, signed commitment.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Source:</w:t>
      </w:r>
      <w:r w:rsidDel="00000000" w:rsidR="00000000" w:rsidRPr="00000000">
        <w:rPr>
          <w:rtl w:val="0"/>
        </w:rPr>
        <w:t xml:space="preserve"> This data is generated by the </w:t>
      </w:r>
      <w:r w:rsidDel="00000000" w:rsidR="00000000" w:rsidRPr="00000000">
        <w:rPr>
          <w:b w:val="1"/>
          <w:bCs w:val="1"/>
          <w:rtl w:val="0"/>
        </w:rPr>
        <w:t xml:space="preserve">Unified Execution Fabric (UEF)</w:t>
      </w:r>
      <w:r w:rsidDel="00000000" w:rsidR="00000000" w:rsidRPr="00000000">
        <w:rPr>
          <w:rtl w:val="0"/>
        </w:rPr>
        <w:t xml:space="preserve">. Before an agent acts, the UEF calculates the likely outcome based on a rigorous </w:t>
      </w:r>
      <w:r w:rsidDel="00000000" w:rsidR="00000000" w:rsidRPr="00000000">
        <w:rPr>
          <w:b w:val="1"/>
          <w:bCs w:val="1"/>
          <w:rtl w:val="0"/>
        </w:rPr>
        <w:t xml:space="preserve">8-dimension score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Capability Fit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GSTI Strategic Importance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Units of Potential (UoP)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Coordination Tax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 Score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Runtime Fit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Economic Value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Penalty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This value is </w:t>
      </w:r>
      <w:r w:rsidDel="00000000" w:rsidR="00000000" w:rsidRPr="00000000">
        <w:rPr>
          <w:b w:val="1"/>
          <w:bCs w:val="1"/>
          <w:rtl w:val="0"/>
        </w:rPr>
        <w:t xml:space="preserve">Signed by FuzeBox</w:t>
      </w:r>
      <w:r w:rsidDel="00000000" w:rsidR="00000000" w:rsidRPr="00000000">
        <w:rPr>
          <w:rtl w:val="0"/>
        </w:rPr>
        <w:t xml:space="preserve"> via a digital signature at the moment of creation. This ensures the "Forward-Looking Guess" cannot be retroactively adjusted to match later results.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prediction establishes the expectation, but its value is only realized when measured against the ground truth of the real world.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p6xwmzgs8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 2: Actual (The Ground Truth)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"Actual" represents the realized dollar outcome. A core tenet of AEOS is that an AI cannot "grade its own homework." Therefore, "Actual" data is never sourced from the AI itself, but from external </w:t>
      </w:r>
      <w:r w:rsidDel="00000000" w:rsidR="00000000" w:rsidRPr="00000000">
        <w:rPr>
          <w:b w:val="1"/>
          <w:bCs w:val="1"/>
          <w:rtl w:val="0"/>
        </w:rPr>
        <w:t xml:space="preserve">Systems of Record (SoR)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neutrality and defensibility, AEOS integrates with the systems where the business actually lives, including: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(e.g., Salesforce):</w:t>
      </w:r>
      <w:r w:rsidDel="00000000" w:rsidR="00000000" w:rsidRPr="00000000">
        <w:rPr>
          <w:rtl w:val="0"/>
        </w:rPr>
        <w:t xml:space="preserve"> To verify lead conversions or closed deals.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Ledgers / ERP:</w:t>
      </w:r>
      <w:r w:rsidDel="00000000" w:rsidR="00000000" w:rsidRPr="00000000">
        <w:rPr>
          <w:rtl w:val="0"/>
        </w:rPr>
        <w:t xml:space="preserve"> To track actual cash flow, payments, or inventory costs.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Betting Books:</w:t>
      </w:r>
      <w:r w:rsidDel="00000000" w:rsidR="00000000" w:rsidRPr="00000000">
        <w:rPr>
          <w:rtl w:val="0"/>
        </w:rPr>
        <w:t xml:space="preserve"> To reconcile outcomes in high-stakes wagering environments.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Telematics &amp; HRIS:</w:t>
      </w:r>
      <w:r w:rsidDel="00000000" w:rsidR="00000000" w:rsidRPr="00000000">
        <w:rPr>
          <w:rtl w:val="0"/>
        </w:rPr>
        <w:t xml:space="preserve"> To track physical assets and human labor inputs.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Records:</w:t>
      </w:r>
      <w:r w:rsidDel="00000000" w:rsidR="00000000" w:rsidRPr="00000000">
        <w:rPr>
          <w:rtl w:val="0"/>
        </w:rPr>
        <w:t xml:space="preserve"> To ensure compliance with jurisdictional mandates.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Legal Lock:</w:t>
      </w:r>
      <w:r w:rsidDel="00000000" w:rsidR="00000000" w:rsidRPr="00000000">
        <w:rPr>
          <w:rtl w:val="0"/>
        </w:rPr>
        <w:t xml:space="preserve"> This component is </w:t>
      </w:r>
      <w:r w:rsidDel="00000000" w:rsidR="00000000" w:rsidRPr="00000000">
        <w:rPr>
          <w:b w:val="1"/>
          <w:bCs w:val="1"/>
          <w:rtl w:val="0"/>
        </w:rPr>
        <w:t xml:space="preserve">Co-signed by both FuzeBox and rPotential</w:t>
      </w:r>
      <w:r w:rsidDel="00000000" w:rsidR="00000000" w:rsidRPr="00000000">
        <w:rPr>
          <w:rtl w:val="0"/>
        </w:rPr>
        <w:t xml:space="preserve">. This two-party signature creates a cryptographic lock that makes the data an insurable, auditable asset suitable for use under </w:t>
      </w:r>
      <w:r w:rsidDel="00000000" w:rsidR="00000000" w:rsidRPr="00000000">
        <w:rPr>
          <w:b w:val="1"/>
          <w:bCs w:val="1"/>
          <w:rtl w:val="0"/>
        </w:rPr>
        <w:t xml:space="preserve">EU AI Act Article 14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ISO/IEC 42001</w:t>
      </w:r>
      <w:r w:rsidDel="00000000" w:rsidR="00000000" w:rsidRPr="00000000">
        <w:rPr>
          <w:rtl w:val="0"/>
        </w:rPr>
        <w:t xml:space="preserve"> standards.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Prediction and the Actual recorded, the system can now calculate the inevitable gap between expectation and reality.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snlo22mbf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Component 3: Variance (Measuring the Gap)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 is the computed delta between what the AI predicted would happen and what the Systems of Record actually reported. AEOS tracks this gap across two high-resolution dimensions: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54.0716344174557"/>
        <w:gridCol w:w="7205.928365582544"/>
        <w:tblGridChange w:id="0">
          <w:tblGrid>
            <w:gridCol w:w="2154.0716344174557"/>
            <w:gridCol w:w="7205.9283655825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Dimension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 Metrics Included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Variance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Sigma delta (statistical drift), latency, error rates, and hallucination scores.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Economic Variance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USD variance, win rate delta, and cost-per-outcome delta.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Understanding Tolerances:</w:t>
      </w:r>
      <w:r w:rsidDel="00000000" w:rsidR="00000000" w:rsidRPr="00000000">
        <w:rPr>
          <w:rtl w:val="0"/>
        </w:rPr>
        <w:t xml:space="preserve"> The system operates on "Tolerances"—thresholds configured via the Skills Authority. If either technical or economic variance exceeds these thresholds, the ledger identifies a performance failure and triggers a diagnostic investigation.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identifying a gap is only the beginning; the ledger must determine exactly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gap occurred to prevent it from happening again.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8k7t8akxg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Component 4: Attribution (Assigning Responsibility)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 is the process of classifying the cause of the variance. Without a rigorous anchor, attribution is merely an opinion. AEOS turns this into evidence by using the </w:t>
      </w:r>
      <w:r w:rsidDel="00000000" w:rsidR="00000000" w:rsidRPr="00000000">
        <w:rPr>
          <w:b w:val="1"/>
          <w:bCs w:val="1"/>
          <w:rtl w:val="0"/>
        </w:rPr>
        <w:t xml:space="preserve">Workforce-Graph Anchor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variance threshold is crossed, the system assigns the cause to the </w:t>
      </w:r>
      <w:r w:rsidDel="00000000" w:rsidR="00000000" w:rsidRPr="00000000">
        <w:rPr>
          <w:b w:val="1"/>
          <w:bCs w:val="1"/>
          <w:rtl w:val="0"/>
        </w:rPr>
        <w:t xml:space="preserve">Five-Bucket Classification</w:t>
      </w:r>
      <w:r w:rsidDel="00000000" w:rsidR="00000000" w:rsidRPr="00000000">
        <w:rPr>
          <w:rtl w:val="0"/>
        </w:rPr>
        <w:t xml:space="preserve"> system: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Capability:</w:t>
      </w:r>
      <w:r w:rsidDel="00000000" w:rsidR="00000000" w:rsidRPr="00000000">
        <w:rPr>
          <w:rtl w:val="0"/>
        </w:rPr>
        <w:t xml:space="preserve"> The model lacked the inherent reasoning or processing power.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Instructions:</w:t>
      </w:r>
      <w:r w:rsidDel="00000000" w:rsidR="00000000" w:rsidRPr="00000000">
        <w:rPr>
          <w:rtl w:val="0"/>
        </w:rPr>
        <w:t xml:space="preserve"> The system prompt or constraints were poorly defined.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Collector Data:</w:t>
      </w:r>
      <w:r w:rsidDel="00000000" w:rsidR="00000000" w:rsidRPr="00000000">
        <w:rPr>
          <w:rtl w:val="0"/>
        </w:rPr>
        <w:t xml:space="preserve"> The AI was provided with "dirty" or incomplete input data.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Policy:</w:t>
      </w:r>
      <w:r w:rsidDel="00000000" w:rsidR="00000000" w:rsidRPr="00000000">
        <w:rPr>
          <w:rtl w:val="0"/>
        </w:rPr>
        <w:t xml:space="preserve"> Internal company rules or jurisdictional constraints prevented a successful outcome.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External technical failures (e.g., network outages or API downtime).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Workforce Anchor:</w:t>
      </w:r>
      <w:r w:rsidDel="00000000" w:rsidR="00000000" w:rsidRPr="00000000">
        <w:rPr>
          <w:rtl w:val="0"/>
        </w:rPr>
        <w:t xml:space="preserve"> The system uses rPotential’s workforce intelligence graph—specifically </w:t>
      </w:r>
      <w:r w:rsidDel="00000000" w:rsidR="00000000" w:rsidRPr="00000000">
        <w:rPr>
          <w:b w:val="1"/>
          <w:bCs w:val="1"/>
          <w:rtl w:val="0"/>
        </w:rPr>
        <w:t xml:space="preserve">Units of Potential (UoP)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Skills Authority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Coordination Tax</w:t>
      </w:r>
      <w:r w:rsidDel="00000000" w:rsidR="00000000" w:rsidRPr="00000000">
        <w:rPr>
          <w:rtl w:val="0"/>
        </w:rPr>
        <w:t xml:space="preserve">—to determine if the human components of the hybrid loop were ready, skilled, or positioned to intervene. This data-driven anchor ensures attribution is defensible in a court of law or a regulatory audit.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cause is diagnosed, the ledger initiates a real-time cure.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js16dt3cd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Component 5: Correction (The Self-Healing Loop)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Correction</w:t>
      </w:r>
      <w:r w:rsidDel="00000000" w:rsidR="00000000" w:rsidRPr="00000000">
        <w:rPr>
          <w:rtl w:val="0"/>
        </w:rPr>
        <w:t xml:space="preserve"> is the final step where the system generates a </w:t>
      </w: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—a data object designed to fix agent performance in real-time. These patches propagate across every vendor stack (OpenAI, Anthropic, etc.) to ensure the agent does not repeat its mistakes.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6.6342648845684"/>
        <w:gridCol w:w="5622.065613608748"/>
        <w:gridCol w:w="1391.300121506683"/>
        <w:tblGridChange w:id="0">
          <w:tblGrid>
            <w:gridCol w:w="2346.6342648845684"/>
            <w:gridCol w:w="5622.065613608748"/>
            <w:gridCol w:w="1391.3001215066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Patch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Prompt/Instruction 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Modifies the system prompt or instruction template.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5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 Add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Appends a new constraint, guardrail, or freshness rule.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5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Restriction/Addition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Adjusts the agent’s access to specific software tools.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5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Override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Moves the task to a different model or a human expert.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60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Patch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Updates the underlying framework code (e.g., CrewAI, LangGraph).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5 Minutes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five components function as a continuous loop, ensuring that every error becomes an immediate improvement to the system's economic accuracy.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9ihqbcer1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Summary: The Lifecycle of a LedgerRow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Predictive Economic Ledger ensures that every AI execution contributes to a recursive </w:t>
      </w:r>
      <w:r w:rsidDel="00000000" w:rsidR="00000000" w:rsidRPr="00000000">
        <w:rPr>
          <w:b w:val="1"/>
          <w:bCs w:val="1"/>
          <w:rtl w:val="0"/>
        </w:rPr>
        <w:t xml:space="preserve">Learning Loop</w:t>
      </w:r>
      <w:r w:rsidDel="00000000" w:rsidR="00000000" w:rsidRPr="00000000">
        <w:rPr>
          <w:rtl w:val="0"/>
        </w:rPr>
        <w:t xml:space="preserve">. The sequence is as follows: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t xml:space="preserve"> Capture normalized telemetry across all vendors.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Predict:</w:t>
      </w:r>
      <w:r w:rsidDel="00000000" w:rsidR="00000000" w:rsidRPr="00000000">
        <w:rPr>
          <w:rtl w:val="0"/>
        </w:rPr>
        <w:t xml:space="preserve"> Sign a dollar-value estimate based on the 8-dimension score.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  <w:t xml:space="preserve"> Perform the task on any runtime vendor (e.g., AWS, Azure, Anthropic).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 Outcome:</w:t>
      </w:r>
      <w:r w:rsidDel="00000000" w:rsidR="00000000" w:rsidRPr="00000000">
        <w:rPr>
          <w:rtl w:val="0"/>
        </w:rPr>
        <w:t xml:space="preserve"> Capture cross-vendor telemetry of the real-world result.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Reconcile:</w:t>
      </w:r>
      <w:r w:rsidDel="00000000" w:rsidR="00000000" w:rsidRPr="00000000">
        <w:rPr>
          <w:rtl w:val="0"/>
        </w:rPr>
        <w:t xml:space="preserve"> Pull the "Actual" result from an external SoR and co-sign the record.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Attribute:</w:t>
      </w:r>
      <w:r w:rsidDel="00000000" w:rsidR="00000000" w:rsidRPr="00000000">
        <w:rPr>
          <w:rtl w:val="0"/>
        </w:rPr>
        <w:t xml:space="preserve"> Identify the cause of Variance using the Workforce-Graph Anchor.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Inject Correction:</w:t>
      </w:r>
      <w:r w:rsidDel="00000000" w:rsidR="00000000" w:rsidRPr="00000000">
        <w:rPr>
          <w:rtl w:val="0"/>
        </w:rPr>
        <w:t xml:space="preserve"> Apply a real-time patch to fix the agent for the next execution.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adhering to this lifecycle, the Predictive Economic Ledger ensures that as an agent’s execution count increases, its </w:t>
      </w:r>
      <w:r w:rsidDel="00000000" w:rsidR="00000000" w:rsidRPr="00000000">
        <w:rPr>
          <w:b w:val="1"/>
          <w:bCs w:val="1"/>
          <w:rtl w:val="0"/>
        </w:rPr>
        <w:t xml:space="preserve">variance shrinks</w:t>
      </w:r>
      <w:r w:rsidDel="00000000" w:rsidR="00000000" w:rsidRPr="00000000">
        <w:rPr>
          <w:rtl w:val="0"/>
        </w:rPr>
        <w:t xml:space="preserve">. The result is a system where the economic story moves from volatility to verified, automated precision.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