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9fed4f74c2a24a27efe6714323a76f4b668a7f"/>
    <w:p>
      <w:pPr>
        <w:pStyle w:val="Heading1"/>
      </w:pPr>
      <w:r>
        <w:t xml:space="preserve">FuzeBox AEOS — Core Intellectual Property and Technical Architecture</w:t>
      </w:r>
    </w:p>
    <w:bookmarkStart w:id="20" w:name="X1c2f17fb14b4c94a6f55f06ee9f63e397385cf0"/>
    <w:p>
      <w:pPr>
        <w:pStyle w:val="Heading3"/>
      </w:pPr>
      <w:r>
        <w:t xml:space="preserve">Why FuzeBox is Irreplaceable in the Enterprise AI Operating Layer</w:t>
      </w:r>
    </w:p>
    <w:bookmarkEnd w:id="20"/>
    <w:bookmarkStart w:id="21" w:name="X9e243428fdea075362e0a062e69b31a8f8a14d4"/>
    <w:p>
      <w:pPr>
        <w:pStyle w:val="Heading3"/>
      </w:pPr>
      <w:r>
        <w:t xml:space="preserve">A Technical White Paper for Internal Review</w:t>
      </w:r>
    </w:p>
    <w:p>
      <w:pPr>
        <w:pStyle w:val="FirstParagraph"/>
      </w:pPr>
      <w:r>
        <w:rPr>
          <w:bCs/>
          <w:b/>
        </w:rPr>
        <w:t xml:space="preserve">April 18, 2026 | Confidential | Engineering Review</w:t>
      </w:r>
      <w:r>
        <w:t xml:space="preserve"> </w:t>
      </w:r>
      <w:r>
        <w:rPr>
          <w:bCs/>
          <w:b/>
        </w:rPr>
        <w:t xml:space="preserve">For:</w:t>
      </w:r>
      <w:r>
        <w:t xml:space="preserve"> </w:t>
      </w:r>
      <w:r>
        <w:t xml:space="preserve">John, Dulay, and Danny</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white paper establishes what FuzeBox AEOS actually owns — the specific, architecturally-defensible intellectual property that makes FuzeBox irreplaceable in the enterprise AI operating layer. It is written for internal engineering and leadership review, to prepare the team for the Greg Shewmaker conversation at rPotential and the subsequent partnership conversations with Anthropic, OpenAI, and the broader vendor ecosystem.</w:t>
      </w:r>
    </w:p>
    <w:p>
      <w:pPr>
        <w:pStyle w:val="BodyText"/>
      </w:pPr>
      <w:r>
        <w:t xml:space="preserve">The thesis is direct: FuzeBox owns three architectural assets that no single vendor can replicate, and that rPotential cannot access without us. Those three assets are:</w:t>
      </w:r>
    </w:p>
    <w:p>
      <w:pPr>
        <w:numPr>
          <w:ilvl w:val="0"/>
          <w:numId w:val="1001"/>
        </w:numPr>
        <w:pStyle w:val="Compact"/>
      </w:pPr>
      <w:r>
        <w:rPr>
          <w:bCs/>
          <w:b/>
        </w:rPr>
        <w:t xml:space="preserve">The GSTI calculation and Coordination Tax algorithm</w:t>
      </w:r>
      <w:r>
        <w:t xml:space="preserve"> </w:t>
      </w:r>
      <w:r>
        <w:t xml:space="preserve">— the governing algorithms that determine what workforce state actually means operationally in real time</w:t>
      </w:r>
    </w:p>
    <w:p>
      <w:pPr>
        <w:numPr>
          <w:ilvl w:val="0"/>
          <w:numId w:val="1001"/>
        </w:numPr>
        <w:pStyle w:val="Compact"/>
      </w:pPr>
      <w:r>
        <w:rPr>
          <w:bCs/>
          <w:b/>
        </w:rPr>
        <w:t xml:space="preserve">The real-time Execution Economic Ledger</w:t>
      </w:r>
      <w:r>
        <w:t xml:space="preserve"> </w:t>
      </w:r>
      <w:r>
        <w:t xml:space="preserve">— the closed-loop feedback system where every agent execution writes back to the labor graph, dynamically updating capabilities, skills, and authority for subsequent decisions</w:t>
      </w:r>
    </w:p>
    <w:p>
      <w:pPr>
        <w:numPr>
          <w:ilvl w:val="0"/>
          <w:numId w:val="1001"/>
        </w:numPr>
        <w:pStyle w:val="Compact"/>
      </w:pPr>
      <w:r>
        <w:rPr>
          <w:bCs/>
          <w:b/>
        </w:rPr>
        <w:t xml:space="preserve">The Integration Abstraction Layer with Boundary Controls</w:t>
      </w:r>
      <w:r>
        <w:t xml:space="preserve"> </w:t>
      </w:r>
      <w:r>
        <w:t xml:space="preserve">— the multi-vendor operating system that enforces governance, skills authority, and Coordination Tax differently at each vendor boundary within the same enterprise deployment</w:t>
      </w:r>
    </w:p>
    <w:p>
      <w:pPr>
        <w:pStyle w:val="FirstParagraph"/>
      </w:pPr>
      <w:r>
        <w:t xml:space="preserve">Together, these three assets constitute an operating system for the agentic enterprise. No runtime vendor (Anthropic, OpenAI, Salesforce, Uniphore) can build them without either becoming non-neutral across their competitors or absorbing a workforce intelligence provider. rPotential provides the workforce signal that feeds this operating system; FuzeBox is the only system that makes the signal economically meaningful across every vendor runtime simultaneously.</w:t>
      </w:r>
    </w:p>
    <w:p>
      <w:r>
        <w:pict>
          <v:rect style="width:0;height:1.5pt" o:hralign="center" o:hrstd="t" o:hr="t"/>
        </w:pict>
      </w:r>
    </w:p>
    <w:bookmarkEnd w:id="22"/>
    <w:bookmarkStart w:id="23" w:name="part-1-the-strategic-reality"/>
    <w:p>
      <w:pPr>
        <w:pStyle w:val="Heading2"/>
      </w:pPr>
      <w:r>
        <w:t xml:space="preserve">Part 1 — The Strategic Reality</w:t>
      </w:r>
    </w:p>
    <w:p>
      <w:pPr>
        <w:pStyle w:val="FirstParagraph"/>
      </w:pPr>
      <w:r>
        <w:t xml:space="preserve">Before the architecture, a sharpening of the strategic picture.</w:t>
      </w:r>
    </w:p>
    <w:p>
      <w:pPr>
        <w:pStyle w:val="BodyText"/>
      </w:pPr>
      <w:r>
        <w:t xml:space="preserve">Every major enterprise AI deployment in 2026 is multi-vendor. A Fortune 500 enterprise does not standardize on Anthropic alone, or OpenAI alone, or Salesforce Agentforce alone. Ken Garff Automotive runs Anthropic agents in the service bay for diagnostic reasoning, OpenAI agents in customer service for conversational quality, human technicians for safety-critical execution, and potentially Salesforce Agentforce for workflow orchestration across all of it. ARTGROUP runs Anthropic for technical compliance analysis, human compliance leads for signoff, and Uniphore for CX-side workflow in parallel. Loop TV deploys different agent configurations across different venue operators. No single vendor owns the whole stack.</w:t>
      </w:r>
    </w:p>
    <w:p>
      <w:pPr>
        <w:pStyle w:val="BodyText"/>
      </w:pPr>
      <w:r>
        <w:t xml:space="preserve">This is not a transitional state. It is the permanent shape of enterprise AI. And it creates a specific operational problem that no single vendor can solve:</w:t>
      </w:r>
      <w:r>
        <w:t xml:space="preserve"> </w:t>
      </w:r>
      <w:r>
        <w:rPr>
          <w:bCs/>
          <w:b/>
        </w:rPr>
        <w:t xml:space="preserve">how do you make consistent, governance-compliant, economically-optimal decisions across multiple vendor agents simultaneously, while preserving human capability and meeting regulatory requirements that vary per jurisdiction?</w:t>
      </w:r>
    </w:p>
    <w:p>
      <w:pPr>
        <w:pStyle w:val="BodyText"/>
      </w:pPr>
      <w:r>
        <w:t xml:space="preserve">The answer is a control plane above every runtime. That control plane requires three things that no runtime vendor can build internally:</w:t>
      </w:r>
    </w:p>
    <w:p>
      <w:pPr>
        <w:numPr>
          <w:ilvl w:val="0"/>
          <w:numId w:val="1002"/>
        </w:numPr>
        <w:pStyle w:val="Compact"/>
      </w:pPr>
      <w:r>
        <w:t xml:space="preserve">A neutral view of every vendor’s execution outcomes (which no single vendor can have about its competitors)</w:t>
      </w:r>
    </w:p>
    <w:p>
      <w:pPr>
        <w:numPr>
          <w:ilvl w:val="0"/>
          <w:numId w:val="1002"/>
        </w:numPr>
        <w:pStyle w:val="Compact"/>
      </w:pPr>
      <w:r>
        <w:t xml:space="preserve">A real-time model of human workforce capability (which no runtime vendor has the data to build)</w:t>
      </w:r>
    </w:p>
    <w:p>
      <w:pPr>
        <w:numPr>
          <w:ilvl w:val="0"/>
          <w:numId w:val="1002"/>
        </w:numPr>
        <w:pStyle w:val="Compact"/>
      </w:pPr>
      <w:r>
        <w:t xml:space="preserve">A governance enforcement mechanism that works identically across all vendor boundaries (which no vendor will willingly submit to if built by a competitor)</w:t>
      </w:r>
    </w:p>
    <w:p>
      <w:pPr>
        <w:pStyle w:val="FirstParagraph"/>
      </w:pPr>
      <w:r>
        <w:t xml:space="preserve">FuzeBox AEOS is the control plane. rPotential provides the workforce signal that feeds it. Neither can deliver the enterprise outcome alone. Together, they become the operating system enterprises adopt.</w:t>
      </w:r>
    </w:p>
    <w:p>
      <w:pPr>
        <w:pStyle w:val="BodyText"/>
      </w:pPr>
      <w:r>
        <w:t xml:space="preserve">This paper describes exactly how.</w:t>
      </w:r>
    </w:p>
    <w:p>
      <w:r>
        <w:pict>
          <v:rect style="width:0;height:1.5pt" o:hralign="center" o:hrstd="t" o:hr="t"/>
        </w:pict>
      </w:r>
    </w:p>
    <w:bookmarkEnd w:id="23"/>
    <w:bookmarkStart w:id="27" w:name="part-2-system-architecture"/>
    <w:p>
      <w:pPr>
        <w:pStyle w:val="Heading2"/>
      </w:pPr>
      <w:r>
        <w:t xml:space="preserve">Part 2 — System Architecture</w:t>
      </w:r>
    </w:p>
    <w:bookmarkStart w:id="24" w:name="the-four-zones-and-twelve-layers"/>
    <w:p>
      <w:pPr>
        <w:pStyle w:val="Heading3"/>
      </w:pPr>
      <w:r>
        <w:t xml:space="preserve">2.1 The Four Zones and Twelve Layers</w:t>
      </w:r>
    </w:p>
    <w:p>
      <w:pPr>
        <w:pStyle w:val="FirstParagraph"/>
      </w:pPr>
      <w:r>
        <w:t xml:space="preserve">AEOS is structured in four architectural zones spanning twelve layers. Each zone answers a specific operational question.</w:t>
      </w:r>
    </w:p>
    <w:p>
      <w:pPr>
        <w:pStyle w:val="SourceCode"/>
      </w:pPr>
      <w:r>
        <w:rPr>
          <w:rStyle w:val="VerbatimChar"/>
        </w:rPr>
        <w:t xml:space="preserve">┌──────────────────────────────────────────────────────────────────┐</w:t>
      </w:r>
      <w:r>
        <w:br/>
      </w:r>
      <w:r>
        <w:rPr>
          <w:rStyle w:val="VerbatimChar"/>
        </w:rPr>
        <w:t xml:space="preserve">│  ZONE 1 — ASSESSMENT (L1-L4) — The Guide Layer                   │</w:t>
      </w:r>
      <w:r>
        <w:br/>
      </w:r>
      <w:r>
        <w:rPr>
          <w:rStyle w:val="VerbatimChar"/>
        </w:rPr>
        <w:t xml:space="preserve">│  What is the enterprise trying to do, what is it allowed to do?  │</w:t>
      </w:r>
      <w:r>
        <w:br/>
      </w:r>
      <w:r>
        <w:rPr>
          <w:rStyle w:val="VerbatimChar"/>
        </w:rPr>
        <w:t xml:space="preserve">│                                                                  │</w:t>
      </w:r>
      <w:r>
        <w:br/>
      </w:r>
      <w:r>
        <w:rPr>
          <w:rStyle w:val="VerbatimChar"/>
        </w:rPr>
        <w:t xml:space="preserve">│  L1  Intent Capture                                              │</w:t>
      </w:r>
      <w:r>
        <w:br/>
      </w:r>
      <w:r>
        <w:rPr>
          <w:rStyle w:val="VerbatimChar"/>
        </w:rPr>
        <w:t xml:space="preserve">│  L2  Policy &amp; Regulatory                                         │</w:t>
      </w:r>
      <w:r>
        <w:br/>
      </w:r>
      <w:r>
        <w:rPr>
          <w:rStyle w:val="VerbatimChar"/>
        </w:rPr>
        <w:t xml:space="preserve">│  L3  Skills Authority                                            │</w:t>
      </w:r>
      <w:r>
        <w:br/>
      </w:r>
      <w:r>
        <w:rPr>
          <w:rStyle w:val="VerbatimChar"/>
        </w:rPr>
        <w:t xml:space="preserve">│  L4  Agent Contracts                                             │</w:t>
      </w:r>
      <w:r>
        <w:br/>
      </w:r>
      <w:r>
        <w:rPr>
          <w:rStyle w:val="VerbatimChar"/>
        </w:rPr>
        <w:t xml:space="preserve">├──────────────────────────────────────────────────────────────────┤</w:t>
      </w:r>
      <w:r>
        <w:br/>
      </w:r>
      <w:r>
        <w:rPr>
          <w:rStyle w:val="VerbatimChar"/>
        </w:rPr>
        <w:t xml:space="preserve">│  ZONE 2 — INTELLIGENCE (L5-L6) — The Data Layer                  │</w:t>
      </w:r>
      <w:r>
        <w:br/>
      </w:r>
      <w:r>
        <w:rPr>
          <w:rStyle w:val="VerbatimChar"/>
        </w:rPr>
        <w:t xml:space="preserve">│  What does the system know about the world right now?            │</w:t>
      </w:r>
      <w:r>
        <w:br/>
      </w:r>
      <w:r>
        <w:rPr>
          <w:rStyle w:val="VerbatimChar"/>
        </w:rPr>
        <w:t xml:space="preserve">│                                                                  │</w:t>
      </w:r>
      <w:r>
        <w:br/>
      </w:r>
      <w:r>
        <w:rPr>
          <w:rStyle w:val="VerbatimChar"/>
        </w:rPr>
        <w:t xml:space="preserve">│  L5  Enterprise Knowledge Graph                                  │</w:t>
      </w:r>
      <w:r>
        <w:br/>
      </w:r>
      <w:r>
        <w:rPr>
          <w:rStyle w:val="VerbatimChar"/>
        </w:rPr>
        <w:t xml:space="preserve">│  L6  Live Signal Bus  ←── rPotential workforce signals feed here │</w:t>
      </w:r>
      <w:r>
        <w:br/>
      </w:r>
      <w:r>
        <w:rPr>
          <w:rStyle w:val="VerbatimChar"/>
        </w:rPr>
        <w:t xml:space="preserve">├──────────────────────────────────────────────────────────────────┤</w:t>
      </w:r>
      <w:r>
        <w:br/>
      </w:r>
      <w:r>
        <w:rPr>
          <w:rStyle w:val="VerbatimChar"/>
        </w:rPr>
        <w:t xml:space="preserve">│  ZONE 3 — EXECUTION (L7-L9) — The Orchestration Layer            │</w:t>
      </w:r>
      <w:r>
        <w:br/>
      </w:r>
      <w:r>
        <w:rPr>
          <w:rStyle w:val="VerbatimChar"/>
        </w:rPr>
        <w:t xml:space="preserve">│  How does work actually get done, by whom, on what stack?        │</w:t>
      </w:r>
      <w:r>
        <w:br/>
      </w:r>
      <w:r>
        <w:rPr>
          <w:rStyle w:val="VerbatimChar"/>
        </w:rPr>
        <w:t xml:space="preserve">│                                                                  │</w:t>
      </w:r>
      <w:r>
        <w:br/>
      </w:r>
      <w:r>
        <w:rPr>
          <w:rStyle w:val="VerbatimChar"/>
        </w:rPr>
        <w:t xml:space="preserve">│  L7  Universal Execution Function (UEF Decision Engine)          │</w:t>
      </w:r>
      <w:r>
        <w:br/>
      </w:r>
      <w:r>
        <w:rPr>
          <w:rStyle w:val="VerbatimChar"/>
        </w:rPr>
        <w:t xml:space="preserve">│  L8  Adapter Gateway with Boundary Controls                      │</w:t>
      </w:r>
      <w:r>
        <w:br/>
      </w:r>
      <w:r>
        <w:rPr>
          <w:rStyle w:val="VerbatimChar"/>
        </w:rPr>
        <w:t xml:space="preserve">│  L9  Dynamic Instruction Runtime                                 │</w:t>
      </w:r>
      <w:r>
        <w:br/>
      </w:r>
      <w:r>
        <w:rPr>
          <w:rStyle w:val="VerbatimChar"/>
        </w:rPr>
        <w:t xml:space="preserve">├──────────────────────────────────────────────────────────────────┤</w:t>
      </w:r>
      <w:r>
        <w:br/>
      </w:r>
      <w:r>
        <w:rPr>
          <w:rStyle w:val="VerbatimChar"/>
        </w:rPr>
        <w:t xml:space="preserve">│  ZONE 4 — GOVERNANCE (L10-L12) — The Sensor Layer                │</w:t>
      </w:r>
      <w:r>
        <w:br/>
      </w:r>
      <w:r>
        <w:rPr>
          <w:rStyle w:val="VerbatimChar"/>
        </w:rPr>
        <w:t xml:space="preserve">│  How do we know what happened, and how do we prove it?           │</w:t>
      </w:r>
      <w:r>
        <w:br/>
      </w:r>
      <w:r>
        <w:rPr>
          <w:rStyle w:val="VerbatimChar"/>
        </w:rPr>
        <w:t xml:space="preserve">│                                                                  │</w:t>
      </w:r>
      <w:r>
        <w:br/>
      </w:r>
      <w:r>
        <w:rPr>
          <w:rStyle w:val="VerbatimChar"/>
        </w:rPr>
        <w:t xml:space="preserve">│  L10 Telemetry Normalizer                                        │</w:t>
      </w:r>
      <w:r>
        <w:br/>
      </w:r>
      <w:r>
        <w:rPr>
          <w:rStyle w:val="VerbatimChar"/>
        </w:rPr>
        <w:t xml:space="preserve">│  L11 Execution Economic Ledger  ←── closes the loop to L6        │</w:t>
      </w:r>
      <w:r>
        <w:br/>
      </w:r>
      <w:r>
        <w:rPr>
          <w:rStyle w:val="VerbatimChar"/>
        </w:rPr>
        <w:t xml:space="preserve">│  L12 Audit &amp; Attestation                                         │</w:t>
      </w:r>
      <w:r>
        <w:br/>
      </w:r>
      <w:r>
        <w:rPr>
          <w:rStyle w:val="VerbatimChar"/>
        </w:rPr>
        <w:t xml:space="preserve">└──────────────────────────────────────────────────────────────────┘</w:t>
      </w:r>
      <w:r>
        <w:br/>
      </w:r>
      <w:r>
        <w:rPr>
          <w:rStyle w:val="VerbatimChar"/>
        </w:rPr>
        <w:t xml:space="preserve">            ↓ governs and routes across ↓</w:t>
      </w:r>
      <w:r>
        <w:br/>
      </w:r>
      <w:r>
        <w:rPr>
          <w:rStyle w:val="VerbatimChar"/>
        </w:rPr>
        <w:t xml:space="preserve">    Anthropic · OpenAI · Salesforce · Uniphore · Cloudflare · Human</w:t>
      </w:r>
    </w:p>
    <w:bookmarkEnd w:id="24"/>
    <w:bookmarkStart w:id="25" w:name="the-system-diagram"/>
    <w:p>
      <w:pPr>
        <w:pStyle w:val="Heading3"/>
      </w:pPr>
      <w:r>
        <w:t xml:space="preserve">2.2 The System Diagram</w:t>
      </w:r>
    </w:p>
    <w:p>
      <w:pPr>
        <w:pStyle w:val="SourceCode"/>
      </w:pPr>
      <w:r>
        <w:rPr>
          <w:rStyle w:val="VerbatimChar"/>
        </w:rPr>
        <w:t xml:space="preserve">┌─────────────────────────────────────────────────────────────────┐</w:t>
      </w:r>
      <w:r>
        <w:br/>
      </w:r>
      <w:r>
        <w:rPr>
          <w:rStyle w:val="VerbatimChar"/>
        </w:rPr>
        <w:t xml:space="preserve">│                   ENTERPRISE DEPLOYMENT                         │</w:t>
      </w:r>
      <w:r>
        <w:br/>
      </w:r>
      <w:r>
        <w:rPr>
          <w:rStyle w:val="VerbatimChar"/>
        </w:rPr>
        <w:t xml:space="preserve">│  (Ken Garff, ARTGROUP, Loop TV, EventPulse — multiple verticals)│</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FUZEBOX AEOS CONTROL PLANE                   │</w:t>
      </w:r>
      <w:r>
        <w:br/>
      </w:r>
      <w:r>
        <w:rPr>
          <w:rStyle w:val="VerbatimChar"/>
        </w:rPr>
        <w:t xml:space="preserve">│                                                                 │</w:t>
      </w:r>
      <w:r>
        <w:br/>
      </w:r>
      <w:r>
        <w:rPr>
          <w:rStyle w:val="VerbatimChar"/>
        </w:rPr>
        <w:t xml:space="preserve">│  ┌───────────────────────────────────────────────────────────┐  │</w:t>
      </w:r>
      <w:r>
        <w:br/>
      </w:r>
      <w:r>
        <w:rPr>
          <w:rStyle w:val="VerbatimChar"/>
        </w:rPr>
        <w:t xml:space="preserve">│  │  INTENT CAPTURE (L1)  →  POLICY &amp; REGULATORY (L2)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SKILLS AUTHORITY (L3) ← AGENT CONTRACTS (L4)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KNOWLEDGE GRAPH (L5)  ←  LIVE SIGNAL BUS (L6)            │  │</w:t>
      </w:r>
      <w:r>
        <w:br/>
      </w:r>
      <w:r>
        <w:rPr>
          <w:rStyle w:val="VerbatimChar"/>
        </w:rPr>
        <w:t xml:space="preserve">│  │                                    ↑                      │  │</w:t>
      </w:r>
      <w:r>
        <w:br/>
      </w:r>
      <w:r>
        <w:rPr>
          <w:rStyle w:val="VerbatimChar"/>
        </w:rPr>
        <w:t xml:space="preserve">│  │                     rPotential: GSTI, UOP, Coord Tax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UNIVERSAL EXECUTION FUNCTION (L7)                 │  │</w:t>
      </w:r>
      <w:r>
        <w:br/>
      </w:r>
      <w:r>
        <w:rPr>
          <w:rStyle w:val="VerbatimChar"/>
        </w:rPr>
        <w:t xml:space="preserve">│  │    Scoring: Capability + GSTI + UOP − Coord Tax           │  │</w:t>
      </w:r>
      <w:r>
        <w:br/>
      </w:r>
      <w:r>
        <w:rPr>
          <w:rStyle w:val="VerbatimChar"/>
        </w:rPr>
        <w:t xml:space="preserve">│  │              + Governance + Runtime + Economic − Risk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ADAPTER GATEWAY WITH BOUNDARY CONTROLS (L8)          │  │</w:t>
      </w:r>
      <w:r>
        <w:br/>
      </w:r>
      <w:r>
        <w:rPr>
          <w:rStyle w:val="VerbatimChar"/>
        </w:rPr>
        <w:t xml:space="preserve">│  │                                                           │  │</w:t>
      </w:r>
      <w:r>
        <w:br/>
      </w:r>
      <w:r>
        <w:rPr>
          <w:rStyle w:val="VerbatimChar"/>
        </w:rPr>
        <w:t xml:space="preserve">│  │  Anthropic │ OpenAI │ Salesforce │ Uniphore │ Cloudflare  │  │</w:t>
      </w:r>
      <w:r>
        <w:br/>
      </w:r>
      <w:r>
        <w:rPr>
          <w:rStyle w:val="VerbatimChar"/>
        </w:rPr>
        <w:t xml:space="preserve">│  │     ↓          ↓          ↓            ↓          ↓       │  │</w:t>
      </w:r>
      <w:r>
        <w:br/>
      </w:r>
      <w:r>
        <w:rPr>
          <w:rStyle w:val="VerbatimChar"/>
        </w:rPr>
        <w:t xml:space="preserve">│  │  [MCP]     [AgentKit] [Trust Layer] [BPMN]    [Think]     │  │</w:t>
      </w:r>
      <w:r>
        <w:br/>
      </w:r>
      <w:r>
        <w:rPr>
          <w:rStyle w:val="VerbatimChar"/>
        </w:rPr>
        <w:t xml:space="preserve">│  │                                                           │  │</w:t>
      </w:r>
      <w:r>
        <w:br/>
      </w:r>
      <w:r>
        <w:rPr>
          <w:rStyle w:val="VerbatimChar"/>
        </w:rPr>
        <w:t xml:space="preserve">│  │  Each vendor boundary: different trust tier, different    │  │</w:t>
      </w:r>
      <w:r>
        <w:br/>
      </w:r>
      <w:r>
        <w:rPr>
          <w:rStyle w:val="VerbatimChar"/>
        </w:rPr>
        <w:t xml:space="preserve">│  │  governance rules, different Coord Tax weighting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DYNAMIC INSTRUCTION RUNTIME (L9)                       │  │</w:t>
      </w:r>
      <w:r>
        <w:br/>
      </w:r>
      <w:r>
        <w:rPr>
          <w:rStyle w:val="VerbatimChar"/>
        </w:rPr>
        <w:t xml:space="preserve">│  │    Runtime injection of instructions, constraints,        │  │</w:t>
      </w:r>
      <w:r>
        <w:br/>
      </w:r>
      <w:r>
        <w:rPr>
          <w:rStyle w:val="VerbatimChar"/>
        </w:rPr>
        <w:t xml:space="preserve">│  │    policy changes based on telemetry feedback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EXECUTION (vendor-native runtimes)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  │</w:t>
      </w:r>
      <w:r>
        <w:br/>
      </w:r>
      <w:r>
        <w:rPr>
          <w:rStyle w:val="VerbatimChar"/>
        </w:rPr>
        <w:t xml:space="preserve">│  │  TELEMETRY NORMALIZER (L10)                               │  │</w:t>
      </w:r>
      <w:r>
        <w:br/>
      </w:r>
      <w:r>
        <w:rPr>
          <w:rStyle w:val="VerbatimChar"/>
        </w:rPr>
        <w:t xml:space="preserve">│  │  Normalizes vendor-native traces to canonical events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EXECUTION ECONOMIC LEDGER (L11)                          │  │</w:t>
      </w:r>
      <w:r>
        <w:br/>
      </w:r>
      <w:r>
        <w:rPr>
          <w:rStyle w:val="VerbatimChar"/>
        </w:rPr>
        <w:t xml:space="preserve">│  │                                                           │  │</w:t>
      </w:r>
      <w:r>
        <w:br/>
      </w:r>
      <w:r>
        <w:rPr>
          <w:rStyle w:val="VerbatimChar"/>
        </w:rPr>
        <w:t xml:space="preserve">│  │  execution_id · task_id · skill_id · selected_path        │  │</w:t>
      </w:r>
      <w:r>
        <w:br/>
      </w:r>
      <w:r>
        <w:rPr>
          <w:rStyle w:val="VerbatimChar"/>
        </w:rPr>
        <w:t xml:space="preserve">│  │  actor_id · cost · latency · success · outcome_value      │  │</w:t>
      </w:r>
      <w:r>
        <w:br/>
      </w:r>
      <w:r>
        <w:rPr>
          <w:rStyle w:val="VerbatimChar"/>
        </w:rPr>
        <w:t xml:space="preserve">│  │  GSTI_delta · UOP_delta · coordination_delta              │  │</w:t>
      </w:r>
      <w:r>
        <w:br/>
      </w:r>
      <w:r>
        <w:rPr>
          <w:rStyle w:val="VerbatimChar"/>
        </w:rPr>
        <w:t xml:space="preserve">│  │                                                           │  │</w:t>
      </w:r>
      <w:r>
        <w:br/>
      </w:r>
      <w:r>
        <w:rPr>
          <w:rStyle w:val="VerbatimChar"/>
        </w:rPr>
        <w:t xml:space="preserve">│  │  ──→ writeback to rPotential Live Signal Bus (L6)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AUDIT &amp; ATTESTATION (L12)                                │  │</w:t>
      </w:r>
      <w:r>
        <w:br/>
      </w:r>
      <w:r>
        <w:rPr>
          <w:rStyle w:val="VerbatimChar"/>
        </w:rPr>
        <w:t xml:space="preserve">│  │  EU AI Act Article-12 · WP.29 · GDPR · SOC2 · HIPAA       │  │</w:t>
      </w:r>
      <w:r>
        <w:br/>
      </w:r>
      <w:r>
        <w:rPr>
          <w:rStyle w:val="VerbatimChar"/>
        </w:rPr>
        <w:t xml:space="preserve">│  └───────────────────────────────────────────────────────────┘  │</w:t>
      </w:r>
      <w:r>
        <w:br/>
      </w:r>
      <w:r>
        <w:rPr>
          <w:rStyle w:val="VerbatimChar"/>
        </w:rPr>
        <w:t xml:space="preserve">└─────────────────────────────────────────────────────────────────┘</w:t>
      </w:r>
    </w:p>
    <w:bookmarkEnd w:id="25"/>
    <w:bookmarkStart w:id="26" w:name="the-logical-architecture"/>
    <w:p>
      <w:pPr>
        <w:pStyle w:val="Heading3"/>
      </w:pPr>
      <w:r>
        <w:t xml:space="preserve">2.3 The Logical Architecture</w:t>
      </w:r>
    </w:p>
    <w:p>
      <w:pPr>
        <w:pStyle w:val="FirstParagraph"/>
      </w:pPr>
      <w:r>
        <w:t xml:space="preserve">The system flow for a single task decision:</w:t>
      </w:r>
    </w:p>
    <w:p>
      <w:pPr>
        <w:pStyle w:val="SourceCode"/>
      </w:pPr>
      <w:r>
        <w:rPr>
          <w:rStyle w:val="VerbatimChar"/>
        </w:rPr>
        <w:t xml:space="preserve">1. Task arrives  →  Intent classifier (L1)</w:t>
      </w:r>
      <w:r>
        <w:br/>
      </w:r>
      <w:r>
        <w:rPr>
          <w:rStyle w:val="VerbatimChar"/>
        </w:rPr>
        <w:t xml:space="preserve">                    └─ classifies task_type, complexity, risk</w:t>
      </w:r>
      <w:r>
        <w:br/>
      </w:r>
      <w:r>
        <w:br/>
      </w:r>
      <w:r>
        <w:rPr>
          <w:rStyle w:val="VerbatimChar"/>
        </w:rPr>
        <w:t xml:space="preserve">2. Policy lookup (L2)</w:t>
      </w:r>
      <w:r>
        <w:br/>
      </w:r>
      <w:r>
        <w:rPr>
          <w:rStyle w:val="VerbatimChar"/>
        </w:rPr>
        <w:t xml:space="preserve">                    └─ loads compliance profile, regulatory constraints</w:t>
      </w:r>
      <w:r>
        <w:br/>
      </w:r>
      <w:r>
        <w:br/>
      </w:r>
      <w:r>
        <w:rPr>
          <w:rStyle w:val="VerbatimChar"/>
        </w:rPr>
        <w:t xml:space="preserve">3. Skill resolution (L3)</w:t>
      </w:r>
      <w:r>
        <w:br/>
      </w:r>
      <w:r>
        <w:rPr>
          <w:rStyle w:val="VerbatimChar"/>
        </w:rPr>
        <w:t xml:space="preserve">                    └─ identifies skills_required, allowed_paths per skill</w:t>
      </w:r>
      <w:r>
        <w:br/>
      </w:r>
      <w:r>
        <w:br/>
      </w:r>
      <w:r>
        <w:rPr>
          <w:rStyle w:val="VerbatimChar"/>
        </w:rPr>
        <w:t xml:space="preserve">4. Agent contract resolution (L4)</w:t>
      </w:r>
      <w:r>
        <w:br/>
      </w:r>
      <w:r>
        <w:rPr>
          <w:rStyle w:val="VerbatimChar"/>
        </w:rPr>
        <w:t xml:space="preserve">                    └─ loads per-agent constraints for candidate paths</w:t>
      </w:r>
      <w:r>
        <w:br/>
      </w:r>
      <w:r>
        <w:br/>
      </w:r>
      <w:r>
        <w:rPr>
          <w:rStyle w:val="VerbatimChar"/>
        </w:rPr>
        <w:t xml:space="preserve">5. Knowledge retrieval (L5) + Signal snapshot (L6)</w:t>
      </w:r>
      <w:r>
        <w:br/>
      </w:r>
      <w:r>
        <w:rPr>
          <w:rStyle w:val="VerbatimChar"/>
        </w:rPr>
        <w:t xml:space="preserve">                    └─ current GSTI per skill</w:t>
      </w:r>
      <w:r>
        <w:br/>
      </w:r>
      <w:r>
        <w:rPr>
          <w:rStyle w:val="VerbatimChar"/>
        </w:rPr>
        <w:t xml:space="preserve">                    └─ current UOP per available actor</w:t>
      </w:r>
      <w:r>
        <w:br/>
      </w:r>
      <w:r>
        <w:rPr>
          <w:rStyle w:val="VerbatimChar"/>
        </w:rPr>
        <w:t xml:space="preserve">                    └─ current Coordination Tax for workflow</w:t>
      </w:r>
      <w:r>
        <w:br/>
      </w:r>
      <w:r>
        <w:rPr>
          <w:rStyle w:val="VerbatimChar"/>
        </w:rPr>
        <w:t xml:space="preserve">                    └─ other workflow context</w:t>
      </w:r>
      <w:r>
        <w:br/>
      </w:r>
      <w:r>
        <w:br/>
      </w:r>
      <w:r>
        <w:rPr>
          <w:rStyle w:val="VerbatimChar"/>
        </w:rPr>
        <w:t xml:space="preserve">6. UEF scoring (L7)</w:t>
      </w:r>
      <w:r>
        <w:br/>
      </w:r>
      <w:r>
        <w:rPr>
          <w:rStyle w:val="VerbatimChar"/>
        </w:rPr>
        <w:t xml:space="preserve">                    └─ for each candidate path:</w:t>
      </w:r>
      <w:r>
        <w:br/>
      </w:r>
      <w:r>
        <w:rPr>
          <w:rStyle w:val="VerbatimChar"/>
        </w:rPr>
        <w:t xml:space="preserve">                       CapabilityFit (history per path)</w:t>
      </w:r>
      <w:r>
        <w:br/>
      </w:r>
      <w:r>
        <w:rPr>
          <w:rStyle w:val="VerbatimChar"/>
        </w:rPr>
        <w:t xml:space="preserve">                     + GSTIValue (strategic skill weighting)</w:t>
      </w:r>
      <w:r>
        <w:br/>
      </w:r>
      <w:r>
        <w:rPr>
          <w:rStyle w:val="VerbatimChar"/>
        </w:rPr>
        <w:t xml:space="preserve">                     + UOPValue (live workforce readiness)</w:t>
      </w:r>
      <w:r>
        <w:br/>
      </w:r>
      <w:r>
        <w:rPr>
          <w:rStyle w:val="VerbatimChar"/>
        </w:rPr>
        <w:t xml:space="preserve">                     − CoordinationTax (friction penalty)</w:t>
      </w:r>
      <w:r>
        <w:br/>
      </w:r>
      <w:r>
        <w:rPr>
          <w:rStyle w:val="VerbatimChar"/>
        </w:rPr>
        <w:t xml:space="preserve">                     + GovernanceScore (compliance fit)</w:t>
      </w:r>
      <w:r>
        <w:br/>
      </w:r>
      <w:r>
        <w:rPr>
          <w:rStyle w:val="VerbatimChar"/>
        </w:rPr>
        <w:t xml:space="preserve">                     + RuntimeFit (latency, cost)</w:t>
      </w:r>
      <w:r>
        <w:br/>
      </w:r>
      <w:r>
        <w:rPr>
          <w:rStyle w:val="VerbatimChar"/>
        </w:rPr>
        <w:t xml:space="preserve">                     + EconomicValue (expected outcome)</w:t>
      </w:r>
      <w:r>
        <w:br/>
      </w:r>
      <w:r>
        <w:rPr>
          <w:rStyle w:val="VerbatimChar"/>
        </w:rPr>
        <w:t xml:space="preserve">                     − RiskPenalty (downside exposure)</w:t>
      </w:r>
      <w:r>
        <w:br/>
      </w:r>
      <w:r>
        <w:rPr>
          <w:rStyle w:val="VerbatimChar"/>
        </w:rPr>
        <w:t xml:space="preserve">                    └─ select highest-scoring path</w:t>
      </w:r>
      <w:r>
        <w:br/>
      </w:r>
      <w:r>
        <w:br/>
      </w:r>
      <w:r>
        <w:rPr>
          <w:rStyle w:val="VerbatimChar"/>
        </w:rPr>
        <w:t xml:space="preserve">7. Dispatch through Adapter Gateway (L8)</w:t>
      </w:r>
      <w:r>
        <w:br/>
      </w:r>
      <w:r>
        <w:rPr>
          <w:rStyle w:val="VerbatimChar"/>
        </w:rPr>
        <w:t xml:space="preserve">                    └─ translate canonical decision to vendor-native call</w:t>
      </w:r>
      <w:r>
        <w:br/>
      </w:r>
      <w:r>
        <w:rPr>
          <w:rStyle w:val="VerbatimChar"/>
        </w:rPr>
        <w:t xml:space="preserve">                    └─ apply boundary-specific governance rules</w:t>
      </w:r>
      <w:r>
        <w:br/>
      </w:r>
      <w:r>
        <w:br/>
      </w:r>
      <w:r>
        <w:rPr>
          <w:rStyle w:val="VerbatimChar"/>
        </w:rPr>
        <w:t xml:space="preserve">8. Dynamic Instruction injection (L9)</w:t>
      </w:r>
      <w:r>
        <w:br/>
      </w:r>
      <w:r>
        <w:rPr>
          <w:rStyle w:val="VerbatimChar"/>
        </w:rPr>
        <w:t xml:space="preserve">                    └─ inject runtime constraints based on signals</w:t>
      </w:r>
      <w:r>
        <w:br/>
      </w:r>
      <w:r>
        <w:rPr>
          <w:rStyle w:val="VerbatimChar"/>
        </w:rPr>
        <w:t xml:space="preserve">                    └─ monitor for telemetry-triggered updates</w:t>
      </w:r>
      <w:r>
        <w:br/>
      </w:r>
      <w:r>
        <w:br/>
      </w:r>
      <w:r>
        <w:rPr>
          <w:rStyle w:val="VerbatimChar"/>
        </w:rPr>
        <w:t xml:space="preserve">9. Execution (vendor runtime)</w:t>
      </w:r>
      <w:r>
        <w:br/>
      </w:r>
      <w:r>
        <w:rPr>
          <w:rStyle w:val="VerbatimChar"/>
        </w:rPr>
        <w:t xml:space="preserve">                    └─ Anthropic | OpenAI | Salesforce | Uniphore | Human</w:t>
      </w:r>
      <w:r>
        <w:br/>
      </w:r>
      <w:r>
        <w:br/>
      </w:r>
      <w:r>
        <w:rPr>
          <w:rStyle w:val="VerbatimChar"/>
        </w:rPr>
        <w:t xml:space="preserve">10. Telemetry normalization (L10)</w:t>
      </w:r>
      <w:r>
        <w:br/>
      </w:r>
      <w:r>
        <w:rPr>
          <w:rStyle w:val="VerbatimChar"/>
        </w:rPr>
        <w:t xml:space="preserve">                    └─ vendor-native trace → canonical event</w:t>
      </w:r>
      <w:r>
        <w:br/>
      </w:r>
      <w:r>
        <w:br/>
      </w:r>
      <w:r>
        <w:rPr>
          <w:rStyle w:val="VerbatimChar"/>
        </w:rPr>
        <w:t xml:space="preserve">11. Ledger writeback (L11)</w:t>
      </w:r>
      <w:r>
        <w:br/>
      </w:r>
      <w:r>
        <w:rPr>
          <w:rStyle w:val="VerbatimChar"/>
        </w:rPr>
        <w:t xml:space="preserve">                    └─ append-only row with cost, latency, outcome</w:t>
      </w:r>
      <w:r>
        <w:br/>
      </w:r>
      <w:r>
        <w:rPr>
          <w:rStyle w:val="VerbatimChar"/>
        </w:rPr>
        <w:t xml:space="preserve">                    └─ compute GSTI_delta, UOP_delta, coordination_delta</w:t>
      </w:r>
      <w:r>
        <w:br/>
      </w:r>
      <w:r>
        <w:br/>
      </w:r>
      <w:r>
        <w:rPr>
          <w:rStyle w:val="VerbatimChar"/>
        </w:rPr>
        <w:t xml:space="preserve">12. Signal bus update (L6 writeback)</w:t>
      </w:r>
      <w:r>
        <w:br/>
      </w:r>
      <w:r>
        <w:rPr>
          <w:rStyle w:val="VerbatimChar"/>
        </w:rPr>
        <w:t xml:space="preserve">                    └─ emit event to rPotential</w:t>
      </w:r>
      <w:r>
        <w:br/>
      </w:r>
      <w:r>
        <w:rPr>
          <w:rStyle w:val="VerbatimChar"/>
        </w:rPr>
        <w:t xml:space="preserve">                    └─ update in-memory signal snapshot</w:t>
      </w:r>
      <w:r>
        <w:br/>
      </w:r>
      <w:r>
        <w:br/>
      </w:r>
      <w:r>
        <w:rPr>
          <w:rStyle w:val="VerbatimChar"/>
        </w:rPr>
        <w:t xml:space="preserve">13. Audit record (L12)</w:t>
      </w:r>
      <w:r>
        <w:br/>
      </w:r>
      <w:r>
        <w:rPr>
          <w:rStyle w:val="VerbatimChar"/>
        </w:rPr>
        <w:t xml:space="preserve">                    └─ cryptographically signed evidence bundle</w:t>
      </w:r>
      <w:r>
        <w:br/>
      </w:r>
      <w:r>
        <w:rPr>
          <w:rStyle w:val="VerbatimChar"/>
        </w:rPr>
        <w:t xml:space="preserve">                    └─ format per applicable policy pack</w:t>
      </w:r>
    </w:p>
    <w:p>
      <w:pPr>
        <w:pStyle w:val="FirstParagraph"/>
      </w:pPr>
      <w:r>
        <w:t xml:space="preserve">The compounding effect: step 12 updates the signals that step 5 will read on the next task. The system learns in real time. Every execution makes the next decision better.</w:t>
      </w:r>
    </w:p>
    <w:p>
      <w:r>
        <w:pict>
          <v:rect style="width:0;height:1.5pt" o:hralign="center" o:hrstd="t" o:hr="t"/>
        </w:pict>
      </w:r>
    </w:p>
    <w:bookmarkEnd w:id="26"/>
    <w:bookmarkEnd w:id="27"/>
    <w:bookmarkStart w:id="31" w:name="part-3-the-three-irreplaceable-assets"/>
    <w:p>
      <w:pPr>
        <w:pStyle w:val="Heading2"/>
      </w:pPr>
      <w:r>
        <w:t xml:space="preserve">Part 3 — The Three Irreplaceable Assets</w:t>
      </w:r>
    </w:p>
    <w:bookmarkStart w:id="28" w:name="Xd86be0fecff997d21bd376a570fb82e5f6a4424"/>
    <w:p>
      <w:pPr>
        <w:pStyle w:val="Heading3"/>
      </w:pPr>
      <w:r>
        <w:t xml:space="preserve">3.1 Asset 1: The GSTI Calculation and Coordination Tax Algorithm</w:t>
      </w:r>
    </w:p>
    <w:p>
      <w:pPr>
        <w:pStyle w:val="FirstParagraph"/>
      </w:pPr>
      <w:r>
        <w:rPr>
          <w:bCs/>
          <w:b/>
        </w:rPr>
        <w:t xml:space="preserve">What it is:</w:t>
      </w:r>
      <w:r>
        <w:t xml:space="preserve"> </w:t>
      </w:r>
      <w:r>
        <w:t xml:space="preserve">Two algorithms that define what workforce state actually means operationally.</w:t>
      </w:r>
    </w:p>
    <w:p>
      <w:pPr>
        <w:pStyle w:val="BodyText"/>
      </w:pPr>
      <w:r>
        <w:rPr>
          <w:bCs/>
          <w:b/>
        </w:rPr>
        <w:t xml:space="preserve">GSTI (Gen-AI Skill Transformation Index)</w:t>
      </w:r>
      <w:r>
        <w:t xml:space="preserve"> </w:t>
      </w:r>
      <w:r>
        <w:t xml:space="preserve">is a computed scalar per skill, per tenant, per time window. It combines:</w:t>
      </w:r>
      <w:r>
        <w:t xml:space="preserve"> </w:t>
      </w:r>
      <w:r>
        <w:t xml:space="preserve">- Strategic weight of the skill (is this a capability the enterprise should preserve?)</w:t>
      </w:r>
      <w:r>
        <w:t xml:space="preserve"> </w:t>
      </w:r>
      <w:r>
        <w:t xml:space="preserve">- Drift risk (is this capability eroding from the human workforce?)</w:t>
      </w:r>
      <w:r>
        <w:t xml:space="preserve"> </w:t>
      </w:r>
      <w:r>
        <w:t xml:space="preserve">- Adjacency signals (is this skill becoming harder to sustain because related skills are eroding?)</w:t>
      </w:r>
      <w:r>
        <w:t xml:space="preserve"> </w:t>
      </w:r>
      <w:r>
        <w:t xml:space="preserve">- Market scarcity (is this capability becoming rare in the labor market?)</w:t>
      </w:r>
    </w:p>
    <w:p>
      <w:pPr>
        <w:pStyle w:val="BodyText"/>
      </w:pPr>
      <w:r>
        <w:rPr>
          <w:bCs/>
          <w:b/>
        </w:rPr>
        <w:t xml:space="preserve">Coordination Tax</w:t>
      </w:r>
      <w:r>
        <w:t xml:space="preserve"> </w:t>
      </w:r>
      <w:r>
        <w:t xml:space="preserve">is a computed scalar per workflow, per tenant, per task type. It combines:</w:t>
      </w:r>
      <w:r>
        <w:t xml:space="preserve"> </w:t>
      </w:r>
      <w:r>
        <w:t xml:space="preserve">- Handoff count (how many boundaries does work cross?)</w:t>
      </w:r>
      <w:r>
        <w:t xml:space="preserve"> </w:t>
      </w:r>
      <w:r>
        <w:t xml:space="preserve">- Wait state burden (how much idle time between steps?)</w:t>
      </w:r>
      <w:r>
        <w:t xml:space="preserve"> </w:t>
      </w:r>
      <w:r>
        <w:t xml:space="preserve">- Approval load (how many signoffs are required?)</w:t>
      </w:r>
      <w:r>
        <w:t xml:space="preserve"> </w:t>
      </w:r>
      <w:r>
        <w:t xml:space="preserve">- Cross-functional friction (how many organizational units must coordinate?)</w:t>
      </w:r>
    </w:p>
    <w:p>
      <w:pPr>
        <w:pStyle w:val="BodyText"/>
      </w:pPr>
      <w:r>
        <w:rPr>
          <w:bCs/>
          <w:b/>
        </w:rPr>
        <w:t xml:space="preserve">Why we own these:</w:t>
      </w:r>
      <w:r>
        <w:t xml:space="preserve"> </w:t>
      </w:r>
      <w:r>
        <w:t xml:space="preserve">These are not metrics that rPotential publishes. These are algorithms FuzeBox defines, calibrates, and updates. rPotential provides raw workforce data. FuzeBox converts that raw data into the operational scalars that drive routing decisions. The calibration is specific to FuzeBox — the weights on each component, the time windows, the tenant-specific tuning.</w:t>
      </w:r>
    </w:p>
    <w:p>
      <w:pPr>
        <w:pStyle w:val="BodyText"/>
      </w:pPr>
      <w:r>
        <w:rPr>
          <w:bCs/>
          <w:b/>
        </w:rPr>
        <w:t xml:space="preserve">Example from Ken Garff service bay:</w:t>
      </w:r>
      <w:r>
        <w:t xml:space="preserve"> </w:t>
      </w:r>
      <w:r>
        <w:t xml:space="preserve">- Raw data from rPotential: 23 certified service techs on shift, 4 with EV certifications, 2 on coaching plans, 1 flagged for skill-drift intervention</w:t>
      </w:r>
      <w:r>
        <w:t xml:space="preserve"> </w:t>
      </w:r>
      <w:r>
        <w:t xml:space="preserve">- FuzeBox GSTI computation for</w:t>
      </w:r>
      <w:r>
        <w:t xml:space="preserve"> </w:t>
      </w:r>
      <w:r>
        <w:rPr>
          <w:rStyle w:val="VerbatimChar"/>
        </w:rPr>
        <w:t xml:space="preserve">skill_brake_diag_v3</w:t>
      </w:r>
      <w:r>
        <w:t xml:space="preserve">: strategic_weight=0.65, drift_risk=0.18, adjacency=0.4 → composite GSTI = 0.52</w:t>
      </w:r>
      <w:r>
        <w:t xml:space="preserve"> </w:t>
      </w:r>
      <w:r>
        <w:t xml:space="preserve">- FuzeBox Coordination Tax computation for task</w:t>
      </w:r>
      <w:r>
        <w:t xml:space="preserve"> </w:t>
      </w:r>
      <w:r>
        <w:rPr>
          <w:rStyle w:val="VerbatimChar"/>
        </w:rPr>
        <w:t xml:space="preserve">tsk_brake_001</w:t>
      </w:r>
      <w:r>
        <w:t xml:space="preserve">: handoff_count=1, wait_state=0.1, approval_load=0.0, friction=0.05 → composite Coord Tax = 0.15</w:t>
      </w:r>
    </w:p>
    <w:p>
      <w:pPr>
        <w:pStyle w:val="BodyText"/>
      </w:pPr>
      <w:r>
        <w:rPr>
          <w:bCs/>
          <w:b/>
        </w:rPr>
        <w:t xml:space="preserve">Why rPotential cannot replicate this alone:</w:t>
      </w:r>
      <w:r>
        <w:t xml:space="preserve"> </w:t>
      </w:r>
      <w:r>
        <w:t xml:space="preserve">rPotential’s core product is workforce analytics. Their data tells you what the workforce looks like. It does not tell you how to translate that into real-time routing decisions for multi-vendor agent execution. The algorithms that perform that translation are FuzeBox-native. Without them, rPotential’s data is a dashboard. With them, it is an operating signal.</w:t>
      </w:r>
    </w:p>
    <w:p>
      <w:pPr>
        <w:pStyle w:val="BodyText"/>
      </w:pPr>
      <w:r>
        <w:rPr>
          <w:bCs/>
          <w:b/>
        </w:rPr>
        <w:t xml:space="preserve">Why runtime vendors cannot replicate this alone:</w:t>
      </w:r>
      <w:r>
        <w:t xml:space="preserve"> </w:t>
      </w:r>
      <w:r>
        <w:t xml:space="preserve">They have no workforce data. They can build the algorithm, but without GSTI and UOP inputs, the algorithm produces nothing. The algorithm is worthless without the signal; the signal is worthless without the algorithm.</w:t>
      </w:r>
    </w:p>
    <w:p>
      <w:pPr>
        <w:pStyle w:val="BodyText"/>
      </w:pPr>
      <w:r>
        <w:rPr>
          <w:bCs/>
          <w:b/>
        </w:rPr>
        <w:t xml:space="preserve">Defensibility:</w:t>
      </w:r>
      <w:r>
        <w:t xml:space="preserve"> </w:t>
      </w:r>
      <w:r>
        <w:t xml:space="preserve">This is the first of the five joint patent families with rPotential (Skills Authority with Hybrid Execution Scoring). The algorithm is FuzeBox-proprietary; the data inputs are rPotential-exclusive under the execution-layer license. Neither can produce the operational outcome alone. Neither can be acquired out from under the other without breaking the combination.</w:t>
      </w:r>
    </w:p>
    <w:bookmarkEnd w:id="28"/>
    <w:bookmarkStart w:id="29" w:name="X292569d9740b1906afa3b39dfa757e28eb60430"/>
    <w:p>
      <w:pPr>
        <w:pStyle w:val="Heading3"/>
      </w:pPr>
      <w:r>
        <w:t xml:space="preserve">3.2 Asset 2: The Real-Time Execution Economic Ledger</w:t>
      </w:r>
    </w:p>
    <w:p>
      <w:pPr>
        <w:pStyle w:val="FirstParagraph"/>
      </w:pPr>
      <w:r>
        <w:rPr>
          <w:bCs/>
          <w:b/>
        </w:rPr>
        <w:t xml:space="preserve">What it is:</w:t>
      </w:r>
      <w:r>
        <w:t xml:space="preserve"> </w:t>
      </w:r>
      <w:r>
        <w:t xml:space="preserve">A closed-loop feedback system that measures every execution across every vendor runtime and writes back to the workforce graph in real time, dynamically updating capabilities, skills, and authority for subsequent decisions.</w:t>
      </w:r>
    </w:p>
    <w:p>
      <w:pPr>
        <w:pStyle w:val="BodyText"/>
      </w:pPr>
      <w:r>
        <w:rPr>
          <w:bCs/>
          <w:b/>
        </w:rPr>
        <w:t xml:space="preserve">The ledger row structure:</w:t>
      </w:r>
    </w:p>
    <w:p>
      <w:pPr>
        <w:pStyle w:val="SourceCode"/>
      </w:pP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"exe_1776529710680"</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"tsk_brake_001"</w:t>
      </w: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"skill_brake_diag_v3"</w:t>
      </w:r>
      <w:r>
        <w:rPr>
          <w:rStyle w:val="FunctionTok"/>
        </w:rPr>
        <w:t xml:space="preserve">,</w:t>
      </w:r>
      <w:r>
        <w:br/>
      </w:r>
      <w:r>
        <w:rPr>
          <w:rStyle w:val="NormalTok"/>
        </w:rPr>
        <w:t xml:space="preserve">  </w:t>
      </w:r>
      <w:r>
        <w:rPr>
          <w:rStyle w:val="DataTypeTok"/>
        </w:rPr>
        <w:t xml:space="preserve">"selected_path"</w:t>
      </w:r>
      <w:r>
        <w:rPr>
          <w:rStyle w:val="FunctionTok"/>
        </w:rPr>
        <w:t xml:space="preserve">:</w:t>
      </w:r>
      <w:r>
        <w:rPr>
          <w:rStyle w:val="NormalTok"/>
        </w:rPr>
        <w:t xml:space="preserve"> </w:t>
      </w:r>
      <w:r>
        <w:rPr>
          <w:rStyle w:val="StringTok"/>
        </w:rPr>
        <w:t xml:space="preserve">"hybrid_anthropic_human"</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"anthropic + human"</w:t>
      </w:r>
      <w:r>
        <w:rPr>
          <w:rStyle w:val="FunctionTok"/>
        </w:rPr>
        <w:t xml:space="preserve">,</w:t>
      </w:r>
      <w:r>
        <w:br/>
      </w:r>
      <w:r>
        <w:rPr>
          <w:rStyle w:val="NormalTok"/>
        </w:rPr>
        <w:t xml:space="preserve">  </w:t>
      </w:r>
      <w:r>
        <w:rPr>
          <w:rStyle w:val="DataTypeTok"/>
        </w:rPr>
        <w:t xml:space="preserve">"actor_ids"</w:t>
      </w:r>
      <w:r>
        <w:rPr>
          <w:rStyle w:val="FunctionTok"/>
        </w:rPr>
        <w:t xml:space="preserve">:</w:t>
      </w:r>
      <w:r>
        <w:rPr>
          <w:rStyle w:val="NormalTok"/>
        </w:rPr>
        <w:t xml:space="preserve"> </w:t>
      </w:r>
      <w:r>
        <w:rPr>
          <w:rStyle w:val="OtherTok"/>
        </w:rPr>
        <w:t xml:space="preserve">[</w:t>
      </w:r>
      <w:r>
        <w:rPr>
          <w:rStyle w:val="StringTok"/>
        </w:rPr>
        <w:t xml:space="preserve">"agent_claude_opus_47"</w:t>
      </w:r>
      <w:r>
        <w:rPr>
          <w:rStyle w:val="OtherTok"/>
        </w:rPr>
        <w:t xml:space="preserve">,</w:t>
      </w:r>
      <w:r>
        <w:rPr>
          <w:rStyle w:val="NormalTok"/>
        </w:rPr>
        <w:t xml:space="preserve"> </w:t>
      </w:r>
      <w:r>
        <w:rPr>
          <w:rStyle w:val="StringTok"/>
        </w:rPr>
        <w:t xml:space="preserve">"tech_27"</w:t>
      </w:r>
      <w:r>
        <w:rPr>
          <w:rStyle w:val="OtherTok"/>
        </w:rPr>
        <w:t xml:space="preserve">]</w:t>
      </w:r>
      <w:r>
        <w:rPr>
          <w:rStyle w:val="FunctionTok"/>
        </w:rPr>
        <w:t xml:space="preserve">,</w:t>
      </w:r>
      <w:r>
        <w:br/>
      </w:r>
      <w:r>
        <w:rPr>
          <w:rStyle w:val="NormalTok"/>
        </w:rPr>
        <w:t xml:space="preserve">  </w:t>
      </w:r>
      <w:r>
        <w:rPr>
          <w:rStyle w:val="DataTypeTok"/>
        </w:rPr>
        <w:t xml:space="preserve">"execution_cost_usd"</w:t>
      </w:r>
      <w:r>
        <w:rPr>
          <w:rStyle w:val="FunctionTok"/>
        </w:rPr>
        <w:t xml:space="preserve">:</w:t>
      </w:r>
      <w:r>
        <w:rPr>
          <w:rStyle w:val="NormalTok"/>
        </w:rPr>
        <w:t xml:space="preserve"> </w:t>
      </w:r>
      <w:r>
        <w:rPr>
          <w:rStyle w:val="FloatTok"/>
        </w:rPr>
        <w:t xml:space="preserve">8.83</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1462</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"success_probability_predicted"</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DataTypeTok"/>
        </w:rPr>
        <w:t xml:space="preserve">"outcome_value_usd"</w:t>
      </w:r>
      <w:r>
        <w:rPr>
          <w:rStyle w:val="FunctionTok"/>
        </w:rPr>
        <w:t xml:space="preserve">:</w:t>
      </w:r>
      <w:r>
        <w:rPr>
          <w:rStyle w:val="NormalTok"/>
        </w:rPr>
        <w:t xml:space="preserve"> </w:t>
      </w:r>
      <w:r>
        <w:rPr>
          <w:rStyle w:val="FloatTok"/>
        </w:rPr>
        <w:t xml:space="preserve">35.0</w:t>
      </w:r>
      <w:r>
        <w:rPr>
          <w:rStyle w:val="FunctionTok"/>
        </w:rPr>
        <w:t xml:space="preserve">,</w:t>
      </w:r>
      <w:r>
        <w:br/>
      </w:r>
      <w:r>
        <w:rPr>
          <w:rStyle w:val="NormalTok"/>
        </w:rPr>
        <w:t xml:space="preserve">  </w:t>
      </w:r>
      <w:r>
        <w:rPr>
          <w:rStyle w:val="DataTypeTok"/>
        </w:rPr>
        <w:t xml:space="preserve">"risk_penalty"</w:t>
      </w:r>
      <w:r>
        <w:rPr>
          <w:rStyle w:val="FunctionTok"/>
        </w:rPr>
        <w:t xml:space="preserve">:</w:t>
      </w:r>
      <w:r>
        <w:rPr>
          <w:rStyle w:val="NormalTok"/>
        </w:rPr>
        <w:t xml:space="preserve"> </w:t>
      </w:r>
      <w:r>
        <w:rPr>
          <w:rStyle w:val="FloatTok"/>
        </w:rPr>
        <w:t xml:space="preserve">0.14</w:t>
      </w:r>
      <w:r>
        <w:rPr>
          <w:rStyle w:val="FunctionTok"/>
        </w:rPr>
        <w:t xml:space="preserve">,</w:t>
      </w:r>
      <w:r>
        <w:br/>
      </w:r>
      <w:r>
        <w:rPr>
          <w:rStyle w:val="NormalTok"/>
        </w:rPr>
        <w:t xml:space="preserve">  </w:t>
      </w:r>
      <w:r>
        <w:rPr>
          <w:rStyle w:val="DataTypeTok"/>
        </w:rPr>
        <w:t xml:space="preserve">"coordination_tax_realized"</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"gsti_delta"</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"uop_delta"</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"coordination_delta"</w:t>
      </w:r>
      <w:r>
        <w:rPr>
          <w:rStyle w:val="FunctionTok"/>
        </w:rPr>
        <w:t xml:space="preserve">:</w:t>
      </w:r>
      <w:r>
        <w:rPr>
          <w:rStyle w:val="NormalTok"/>
        </w:rPr>
        <w:t xml:space="preserve"> </w:t>
      </w:r>
      <w:r>
        <w:rPr>
          <w:rStyle w:val="FloatTok"/>
        </w:rPr>
        <w:t xml:space="preserve">-0.035</w:t>
      </w:r>
      <w:r>
        <w:rPr>
          <w:rStyle w:val="FunctionTok"/>
        </w:rPr>
        <w:t xml:space="preserve">,</w:t>
      </w:r>
      <w:r>
        <w:br/>
      </w:r>
      <w:r>
        <w:rPr>
          <w:rStyle w:val="NormalTok"/>
        </w:rPr>
        <w:t xml:space="preserve">  </w:t>
      </w:r>
      <w:r>
        <w:rPr>
          <w:rStyle w:val="DataTypeTok"/>
        </w:rPr>
        <w:t xml:space="preserve">"audit_record_id"</w:t>
      </w:r>
      <w:r>
        <w:rPr>
          <w:rStyle w:val="FunctionTok"/>
        </w:rPr>
        <w:t xml:space="preserve">:</w:t>
      </w:r>
      <w:r>
        <w:rPr>
          <w:rStyle w:val="NormalTok"/>
        </w:rPr>
        <w:t xml:space="preserve"> </w:t>
      </w:r>
      <w:r>
        <w:rPr>
          <w:rStyle w:val="StringTok"/>
        </w:rPr>
        <w:t xml:space="preserve">"aud_991"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1776529710.68</w:t>
      </w:r>
      <w:r>
        <w:br/>
      </w:r>
      <w:r>
        <w:rPr>
          <w:rStyle w:val="FunctionTok"/>
        </w:rPr>
        <w:t xml:space="preserve">}</w:t>
      </w:r>
    </w:p>
    <w:p>
      <w:pPr>
        <w:pStyle w:val="FirstParagraph"/>
      </w:pPr>
      <w:r>
        <w:rPr>
          <w:bCs/>
          <w:b/>
        </w:rPr>
        <w:t xml:space="preserve">What makes this closed-loop:</w:t>
      </w:r>
      <w:r>
        <w:t xml:space="preserve"> </w:t>
      </w:r>
      <w:r>
        <w:t xml:space="preserve">Every row produces three writeback events:</w:t>
      </w:r>
    </w:p>
    <w:p>
      <w:pPr>
        <w:numPr>
          <w:ilvl w:val="0"/>
          <w:numId w:val="1003"/>
        </w:numPr>
      </w:pPr>
      <w:r>
        <w:rPr>
          <w:bCs/>
          <w:b/>
        </w:rPr>
        <w:t xml:space="preserve">To the workforce graph (L6):</w:t>
      </w:r>
      <w:r>
        <w:t xml:space="preserve"> </w:t>
      </w:r>
      <w:r>
        <w:t xml:space="preserve">GSTI_delta for the skill, UOP_delta for the actor, coordination_delta for the workflow. These deltas update the signals that feed the next decision.</w:t>
      </w:r>
    </w:p>
    <w:p>
      <w:pPr>
        <w:numPr>
          <w:ilvl w:val="0"/>
          <w:numId w:val="1003"/>
        </w:numPr>
      </w:pPr>
      <w:r>
        <w:rPr>
          <w:bCs/>
          <w:b/>
        </w:rPr>
        <w:t xml:space="preserve">To the Skills Authority (L3):</w:t>
      </w:r>
      <w:r>
        <w:t xml:space="preserve"> </w:t>
      </w:r>
      <w:r>
        <w:t xml:space="preserve">Performance history per path. The next scoring decision reflects what actually worked and what didn’t.</w:t>
      </w:r>
    </w:p>
    <w:p>
      <w:pPr>
        <w:numPr>
          <w:ilvl w:val="0"/>
          <w:numId w:val="1003"/>
        </w:numPr>
      </w:pPr>
      <w:r>
        <w:rPr>
          <w:bCs/>
          <w:b/>
        </w:rPr>
        <w:t xml:space="preserve">To the Agent Contracts (L4):</w:t>
      </w:r>
      <w:r>
        <w:t xml:space="preserve"> </w:t>
      </w:r>
      <w:r>
        <w:t xml:space="preserve">If an agent exceeded its blast radius, underperformed, or produced a compliance violation, the contract constraints tighten. Authority is dynamic.</w:t>
      </w:r>
    </w:p>
    <w:p>
      <w:pPr>
        <w:pStyle w:val="FirstParagraph"/>
      </w:pPr>
      <w:r>
        <w:rPr>
          <w:bCs/>
          <w:b/>
        </w:rPr>
        <w:t xml:space="preserve">Why this is irreplaceable:</w:t>
      </w:r>
      <w:r>
        <w:t xml:space="preserve"> </w:t>
      </w:r>
      <w:r>
        <w:t xml:space="preserve">No single vendor can produce this ledger because no single vendor sees execution outcomes across its competitors’ runtimes. Anthropic cannot measure the economic value of an OpenAI execution. OpenAI cannot measure the economic value of an Anthropic execution. Salesforce cannot measure either. Uniphore’s ledger would be biased toward Uniphore routes.</w:t>
      </w:r>
    </w:p>
    <w:p>
      <w:pPr>
        <w:pStyle w:val="BodyText"/>
      </w:pPr>
      <w:r>
        <w:t xml:space="preserve">Only FuzeBox, positioned neutrally above every vendor, can produce a ledger that compares execution paths across the entire multi-vendor stack with the same measurement schema.</w:t>
      </w:r>
    </w:p>
    <w:p>
      <w:pPr>
        <w:pStyle w:val="BodyText"/>
      </w:pPr>
      <w:r>
        <w:rPr>
          <w:bCs/>
          <w:b/>
        </w:rPr>
        <w:t xml:space="preserve">Why this is compounding:</w:t>
      </w:r>
      <w:r>
        <w:t xml:space="preserve"> </w:t>
      </w:r>
      <w:r>
        <w:t xml:space="preserve">The ledger is not a report. It is a control system. Every execution changes the signals that feed the next decision. An enterprise using AEOS gets materially better routing decisions over time because the system learns from its own execution history. A vendor-provided ledger would learn from that vendor’s history only. FuzeBox learns from everyone’s history simultaneously.</w:t>
      </w:r>
    </w:p>
    <w:p>
      <w:pPr>
        <w:pStyle w:val="BodyText"/>
      </w:pPr>
      <w:r>
        <w:rPr>
          <w:bCs/>
          <w:b/>
        </w:rPr>
        <w:t xml:space="preserve">The specific metrics derived from the ledger:</w:t>
      </w:r>
      <w:r>
        <w:t xml:space="preserve"> </w:t>
      </w:r>
      <w:r>
        <w:t xml:space="preserve">- Unit Cost of Skill (UCS) = total_cost / executions per skill</w:t>
      </w:r>
      <w:r>
        <w:t xml:space="preserve"> </w:t>
      </w:r>
      <w:r>
        <w:t xml:space="preserve">- Skill Yield (SY) = successful_outcomes / executions per skill</w:t>
      </w:r>
      <w:r>
        <w:t xml:space="preserve"> </w:t>
      </w:r>
      <w:r>
        <w:t xml:space="preserve">- Skill Efficiency Ratio (SER) = SY / UCS</w:t>
      </w:r>
      <w:r>
        <w:t xml:space="preserve"> </w:t>
      </w:r>
      <w:r>
        <w:t xml:space="preserve">- Execution ROI (EROI) = outcome_value − (cost + coordination_tax + risk_cost)</w:t>
      </w:r>
      <w:r>
        <w:t xml:space="preserve"> </w:t>
      </w:r>
      <w:r>
        <w:t xml:space="preserve">- Skill Drift Delta (SDD) = current_success_rate − prior_success_rate</w:t>
      </w:r>
      <w:r>
        <w:t xml:space="preserve"> </w:t>
      </w:r>
      <w:r>
        <w:t xml:space="preserve">- Human Preservation Index (HPI) = share of strategic skills preserved intentionally</w:t>
      </w:r>
      <w:r>
        <w:t xml:space="preserve"> </w:t>
      </w:r>
      <w:r>
        <w:t xml:space="preserve">- Hybrid Leverage Rate (HLR) = value_gain of hybrid paths vs. single-path alternatives</w:t>
      </w:r>
    </w:p>
    <w:p>
      <w:pPr>
        <w:pStyle w:val="BodyText"/>
      </w:pPr>
      <w:r>
        <w:t xml:space="preserve">These seven derived metrics are the enterprise autonomy dashboard. They are the board-level answer to</w:t>
      </w:r>
      <w:r>
        <w:t xml:space="preserve"> </w:t>
      </w:r>
      <w:r>
        <w:t xml:space="preserve">“</w:t>
      </w:r>
      <w:r>
        <w:t xml:space="preserve">is our AI making us smarter or dumber?</w:t>
      </w:r>
      <w:r>
        <w:t xml:space="preserve">”</w:t>
      </w:r>
    </w:p>
    <w:p>
      <w:pPr>
        <w:pStyle w:val="BodyText"/>
      </w:pPr>
      <w:r>
        <w:rPr>
          <w:bCs/>
          <w:b/>
        </w:rPr>
        <w:t xml:space="preserve">Defensibility:</w:t>
      </w:r>
      <w:r>
        <w:t xml:space="preserve"> </w:t>
      </w:r>
      <w:r>
        <w:t xml:space="preserve">Second joint patent family (Execution Economic Ledger). Filing names both FuzeBox and rPotential as co-assignees. The ledger consumes rPotential signals and produces rPotential writebacks; neither party can operate the ledger without the other.</w:t>
      </w:r>
    </w:p>
    <w:bookmarkEnd w:id="29"/>
    <w:bookmarkStart w:id="30" w:name="Xd0e72d0cd42829786858ee2c823e1925e042953"/>
    <w:p>
      <w:pPr>
        <w:pStyle w:val="Heading3"/>
      </w:pPr>
      <w:r>
        <w:t xml:space="preserve">3.3 Asset 3: The Integration Abstraction Layer with Boundary Controls</w:t>
      </w:r>
    </w:p>
    <w:p>
      <w:pPr>
        <w:pStyle w:val="FirstParagraph"/>
      </w:pPr>
      <w:r>
        <w:rPr>
          <w:bCs/>
          <w:b/>
        </w:rPr>
        <w:t xml:space="preserve">What it is:</w:t>
      </w:r>
      <w:r>
        <w:t xml:space="preserve"> </w:t>
      </w:r>
      <w:r>
        <w:t xml:space="preserve">A multi-vendor integration layer that enforces governance, skills authority, agent contracts, and Coordination Tax differently at each vendor boundary within the same enterprise deployment.</w:t>
      </w:r>
    </w:p>
    <w:p>
      <w:pPr>
        <w:pStyle w:val="BodyText"/>
      </w:pPr>
      <w:r>
        <w:rPr>
          <w:bCs/>
          <w:b/>
        </w:rPr>
        <w:t xml:space="preserve">Why this matters:</w:t>
      </w:r>
      <w:r>
        <w:t xml:space="preserve"> </w:t>
      </w:r>
      <w:r>
        <w:t xml:space="preserve">No enterprise deploys a single-vendor agent stack. Ken Garff runs Anthropic in the service bay, OpenAI in customer service, humans in safety-critical. ARTGROUP runs Anthropic in technical compliance, humans in signoff, potentially Uniphore in CX workflow. Loop TV deploys different configurations per venue operator. The control plane must treat each vendor integration as a</w:t>
      </w:r>
      <w:r>
        <w:t xml:space="preserve"> </w:t>
      </w:r>
      <w:r>
        <w:rPr>
          <w:bCs/>
          <w:b/>
        </w:rPr>
        <w:t xml:space="preserve">boundary with its own rules</w:t>
      </w:r>
      <w:r>
        <w:t xml:space="preserve">.</w:t>
      </w:r>
    </w:p>
    <w:p>
      <w:pPr>
        <w:pStyle w:val="BodyText"/>
      </w:pPr>
      <w:r>
        <w:rPr>
          <w:bCs/>
          <w:b/>
        </w:rPr>
        <w:t xml:space="preserve">What a boundary carries:</w:t>
      </w:r>
    </w:p>
    <w:p>
      <w:pPr>
        <w:pStyle w:val="SourceCode"/>
      </w:pPr>
      <w:r>
        <w:rPr>
          <w:rStyle w:val="VerbatimChar"/>
        </w:rPr>
        <w:t xml:space="preserve">BOUNDARY: Ken Garff + Anthropic</w:t>
      </w:r>
      <w:r>
        <w:br/>
      </w:r>
      <w:r>
        <w:rPr>
          <w:rStyle w:val="VerbatimChar"/>
        </w:rPr>
        <w:t xml:space="preserve">  ├─ Allowed skills: {diagnostic, reasoning, summary}</w:t>
      </w:r>
      <w:r>
        <w:br/>
      </w:r>
      <w:r>
        <w:rPr>
          <w:rStyle w:val="VerbatimChar"/>
        </w:rPr>
        <w:t xml:space="preserve">  ├─ Excluded skills: {safety_signoff, payment_authorization}</w:t>
      </w:r>
      <w:r>
        <w:br/>
      </w:r>
      <w:r>
        <w:rPr>
          <w:rStyle w:val="VerbatimChar"/>
        </w:rPr>
        <w:t xml:space="preserve">  ├─ Agent contracts: KG-ANTHROPIC-SERVICE-v3</w:t>
      </w:r>
      <w:r>
        <w:br/>
      </w:r>
      <w:r>
        <w:rPr>
          <w:rStyle w:val="VerbatimChar"/>
        </w:rPr>
        <w:t xml:space="preserve">  ├─ Governance profile: ken_garff_automotive_standard</w:t>
      </w:r>
      <w:r>
        <w:br/>
      </w:r>
      <w:r>
        <w:rPr>
          <w:rStyle w:val="VerbatimChar"/>
        </w:rPr>
        <w:t xml:space="preserve">  ├─ Trust tier: high</w:t>
      </w:r>
      <w:r>
        <w:br/>
      </w:r>
      <w:r>
        <w:rPr>
          <w:rStyle w:val="VerbatimChar"/>
        </w:rPr>
        <w:t xml:space="preserve">  ├─ Authorization: MCP tool-allow list A</w:t>
      </w:r>
      <w:r>
        <w:br/>
      </w:r>
      <w:r>
        <w:rPr>
          <w:rStyle w:val="VerbatimChar"/>
        </w:rPr>
        <w:t xml:space="preserve">  ├─ Coordination Tax weighting: service_bay_profile</w:t>
      </w:r>
      <w:r>
        <w:br/>
      </w:r>
      <w:r>
        <w:rPr>
          <w:rStyle w:val="VerbatimChar"/>
        </w:rPr>
        <w:t xml:space="preserve">  ├─ Policy packs: {us_auto_safety, soc2}</w:t>
      </w:r>
      <w:r>
        <w:br/>
      </w:r>
      <w:r>
        <w:rPr>
          <w:rStyle w:val="VerbatimChar"/>
        </w:rPr>
        <w:t xml:space="preserve">  └─ Writeback destinations: [kg_ledger, rpotential_kg]</w:t>
      </w:r>
      <w:r>
        <w:br/>
      </w:r>
      <w:r>
        <w:br/>
      </w:r>
      <w:r>
        <w:rPr>
          <w:rStyle w:val="VerbatimChar"/>
        </w:rPr>
        <w:t xml:space="preserve">BOUNDARY: Ken Garff + OpenAI</w:t>
      </w:r>
      <w:r>
        <w:br/>
      </w:r>
      <w:r>
        <w:rPr>
          <w:rStyle w:val="VerbatimChar"/>
        </w:rPr>
        <w:t xml:space="preserve">  ├─ Allowed skills: {conversation, classification, summarization}</w:t>
      </w:r>
      <w:r>
        <w:br/>
      </w:r>
      <w:r>
        <w:rPr>
          <w:rStyle w:val="VerbatimChar"/>
        </w:rPr>
        <w:t xml:space="preserve">  ├─ Excluded skills: {diagnostic, safety_signoff, payment}</w:t>
      </w:r>
      <w:r>
        <w:br/>
      </w:r>
      <w:r>
        <w:rPr>
          <w:rStyle w:val="VerbatimChar"/>
        </w:rPr>
        <w:t xml:space="preserve">  ├─ Agent contracts: KG-OPENAI-CUSTOMER-v2</w:t>
      </w:r>
      <w:r>
        <w:br/>
      </w:r>
      <w:r>
        <w:rPr>
          <w:rStyle w:val="VerbatimChar"/>
        </w:rPr>
        <w:t xml:space="preserve">  ├─ Governance profile: ken_garff_customer_service</w:t>
      </w:r>
      <w:r>
        <w:br/>
      </w:r>
      <w:r>
        <w:rPr>
          <w:rStyle w:val="VerbatimChar"/>
        </w:rPr>
        <w:t xml:space="preserve">  ├─ Trust tier: medium</w:t>
      </w:r>
      <w:r>
        <w:br/>
      </w:r>
      <w:r>
        <w:rPr>
          <w:rStyle w:val="VerbatimChar"/>
        </w:rPr>
        <w:t xml:space="preserve">  ├─ Authorization: AgentKit scope B</w:t>
      </w:r>
      <w:r>
        <w:br/>
      </w:r>
      <w:r>
        <w:rPr>
          <w:rStyle w:val="VerbatimChar"/>
        </w:rPr>
        <w:t xml:space="preserve">  ├─ Coordination Tax weighting: customer_service_profile</w:t>
      </w:r>
      <w:r>
        <w:br/>
      </w:r>
      <w:r>
        <w:rPr>
          <w:rStyle w:val="VerbatimChar"/>
        </w:rPr>
        <w:t xml:space="preserve">  ├─ Policy packs: {us_auto_safety, gdpr, soc2}</w:t>
      </w:r>
      <w:r>
        <w:br/>
      </w:r>
      <w:r>
        <w:rPr>
          <w:rStyle w:val="VerbatimChar"/>
        </w:rPr>
        <w:t xml:space="preserve">  └─ Writeback destinations: [kg_ledger, rpotential_kg]</w:t>
      </w:r>
      <w:r>
        <w:br/>
      </w:r>
      <w:r>
        <w:br/>
      </w:r>
      <w:r>
        <w:rPr>
          <w:rStyle w:val="VerbatimChar"/>
        </w:rPr>
        <w:t xml:space="preserve">BOUNDARY: ARTGROUP + Anthropic</w:t>
      </w:r>
      <w:r>
        <w:br/>
      </w:r>
      <w:r>
        <w:rPr>
          <w:rStyle w:val="VerbatimChar"/>
        </w:rPr>
        <w:t xml:space="preserve">  ├─ Allowed skills: {compliance_analysis, evidence_synthesis, reasoning}</w:t>
      </w:r>
      <w:r>
        <w:br/>
      </w:r>
      <w:r>
        <w:rPr>
          <w:rStyle w:val="VerbatimChar"/>
        </w:rPr>
        <w:t xml:space="preserve">  ├─ Excluded skills: {compliance_signoff, customer_communication}</w:t>
      </w:r>
      <w:r>
        <w:br/>
      </w:r>
      <w:r>
        <w:rPr>
          <w:rStyle w:val="VerbatimChar"/>
        </w:rPr>
        <w:t xml:space="preserve">  ├─ Agent contracts: ART-ANTHROPIC-COMPLIANCE-v1</w:t>
      </w:r>
      <w:r>
        <w:br/>
      </w:r>
      <w:r>
        <w:rPr>
          <w:rStyle w:val="VerbatimChar"/>
        </w:rPr>
        <w:t xml:space="preserve">  ├─ Governance profile: eu_ai_act_high_risk_strict</w:t>
      </w:r>
      <w:r>
        <w:br/>
      </w:r>
      <w:r>
        <w:rPr>
          <w:rStyle w:val="VerbatimChar"/>
        </w:rPr>
        <w:t xml:space="preserve">  ├─ Trust tier: high</w:t>
      </w:r>
      <w:r>
        <w:br/>
      </w:r>
      <w:r>
        <w:rPr>
          <w:rStyle w:val="VerbatimChar"/>
        </w:rPr>
        <w:t xml:space="preserve">  ├─ Authorization: MCP tool-allow list C (EU-resident endpoints only)</w:t>
      </w:r>
      <w:r>
        <w:br/>
      </w:r>
      <w:r>
        <w:rPr>
          <w:rStyle w:val="VerbatimChar"/>
        </w:rPr>
        <w:t xml:space="preserve">  ├─ Coordination Tax weighting: compliance_profile</w:t>
      </w:r>
      <w:r>
        <w:br/>
      </w:r>
      <w:r>
        <w:rPr>
          <w:rStyle w:val="VerbatimChar"/>
        </w:rPr>
        <w:t xml:space="preserve">  ├─ Policy packs: {eu_ai_act_art12, wp29, gdpr, cyber_resilience_act}</w:t>
      </w:r>
      <w:r>
        <w:br/>
      </w:r>
      <w:r>
        <w:rPr>
          <w:rStyle w:val="VerbatimChar"/>
        </w:rPr>
        <w:t xml:space="preserve">  └─ Writeback destinations: [art_ledger, rpotential_art, eu_audit_store]</w:t>
      </w:r>
    </w:p>
    <w:p>
      <w:pPr>
        <w:pStyle w:val="FirstParagraph"/>
      </w:pPr>
      <w:r>
        <w:rPr>
          <w:bCs/>
          <w:b/>
        </w:rPr>
        <w:t xml:space="preserve">The critical insight:</w:t>
      </w:r>
      <w:r>
        <w:t xml:space="preserve"> </w:t>
      </w:r>
      <w:r>
        <w:t xml:space="preserve">Two enterprise customers using Anthropic (Ken Garff and ARTGROUP) have completely different governance rules, different skill authorities, different Coordination Tax weightings, different agent contracts, different policy packs, and different writeback destinations — even though both are calling the same underlying Anthropic API.</w:t>
      </w:r>
    </w:p>
    <w:p>
      <w:pPr>
        <w:pStyle w:val="BodyText"/>
      </w:pPr>
      <w:r>
        <w:t xml:space="preserve">No single vendor can enforce this. Anthropic cannot enforce Ken Garff’s rules differently from ARTGROUP’s rules inside Anthropic’s own platform because Anthropic has no concept of per-customer skill authority, per-customer Coordination Tax, per-customer agent contracts. That is per-tenant, per-boundary FuzeBox state.</w:t>
      </w:r>
    </w:p>
    <w:p>
      <w:pPr>
        <w:pStyle w:val="BodyText"/>
      </w:pPr>
      <w:r>
        <w:rPr>
          <w:bCs/>
          <w:b/>
        </w:rPr>
        <w:t xml:space="preserve">The boundary controls are what makes the control plane operational:</w:t>
      </w:r>
    </w:p>
    <w:p>
      <w:pPr>
        <w:numPr>
          <w:ilvl w:val="0"/>
          <w:numId w:val="1004"/>
        </w:numPr>
      </w:pPr>
      <w:r>
        <w:rPr>
          <w:bCs/>
          <w:b/>
        </w:rPr>
        <w:t xml:space="preserve">Pre-execution validation</w:t>
      </w:r>
      <w:r>
        <w:t xml:space="preserve"> </w:t>
      </w:r>
      <w:r>
        <w:t xml:space="preserve">— before any vendor call is made, the boundary validates the canonical task against the boundary’s rules. If the task requires a skill not allowed at this boundary, the call is rejected.</w:t>
      </w:r>
    </w:p>
    <w:p>
      <w:pPr>
        <w:numPr>
          <w:ilvl w:val="0"/>
          <w:numId w:val="1004"/>
        </w:numPr>
      </w:pPr>
      <w:r>
        <w:rPr>
          <w:bCs/>
          <w:b/>
        </w:rPr>
        <w:t xml:space="preserve">Request shaping</w:t>
      </w:r>
      <w:r>
        <w:t xml:space="preserve"> </w:t>
      </w:r>
      <w:r>
        <w:t xml:space="preserve">— the canonical request is translated to vendor-native format with boundary-specific constraints applied. The Anthropic MCP call from Ken Garff’s boundary looks different from the Anthropic MCP call from ARTGROUP’s boundary, even for semantically equivalent tasks.</w:t>
      </w:r>
    </w:p>
    <w:p>
      <w:pPr>
        <w:numPr>
          <w:ilvl w:val="0"/>
          <w:numId w:val="1004"/>
        </w:numPr>
      </w:pPr>
      <w:r>
        <w:rPr>
          <w:bCs/>
          <w:b/>
        </w:rPr>
        <w:t xml:space="preserve">Response validation</w:t>
      </w:r>
      <w:r>
        <w:t xml:space="preserve"> </w:t>
      </w:r>
      <w:r>
        <w:t xml:space="preserve">— the vendor response is validated against governance requirements before being returned. Evidence export requirements, trace retention requirements, and human-override requirements are enforced at this layer.</w:t>
      </w:r>
    </w:p>
    <w:p>
      <w:pPr>
        <w:numPr>
          <w:ilvl w:val="0"/>
          <w:numId w:val="1004"/>
        </w:numPr>
      </w:pPr>
      <w:r>
        <w:rPr>
          <w:bCs/>
          <w:b/>
        </w:rPr>
        <w:t xml:space="preserve">Telemetry capture</w:t>
      </w:r>
      <w:r>
        <w:t xml:space="preserve"> </w:t>
      </w:r>
      <w:r>
        <w:t xml:space="preserve">— boundary-specific telemetry is captured and normalized before flowing to the Economic Ledger.</w:t>
      </w:r>
    </w:p>
    <w:p>
      <w:pPr>
        <w:pStyle w:val="FirstParagraph"/>
      </w:pPr>
      <w:r>
        <w:rPr>
          <w:bCs/>
          <w:b/>
        </w:rPr>
        <w:t xml:space="preserve">Why this is irreplaceable:</w:t>
      </w:r>
      <w:r>
        <w:t xml:space="preserve"> </w:t>
      </w:r>
      <w:r>
        <w:t xml:space="preserve">The boundary controls exist because no enterprise standardizes on a single vendor. But no single vendor will build per-customer boundary controls that work identically for their competitors. Anthropic will not build MCP boundary controls that also work for OpenAI AgentKit. That would require Anthropic to become a neutral arbiter of its own competitors — which no vendor has a strategic reason to do.</w:t>
      </w:r>
    </w:p>
    <w:p>
      <w:pPr>
        <w:pStyle w:val="BodyText"/>
      </w:pPr>
      <w:r>
        <w:t xml:space="preserve">Only a neutral control plane can enforce consistent boundary controls across all vendor runtimes. FuzeBox is that control plane. The boundary controls are FuzeBox IP.</w:t>
      </w:r>
    </w:p>
    <w:p>
      <w:pPr>
        <w:pStyle w:val="BodyText"/>
      </w:pPr>
      <w:r>
        <w:rPr>
          <w:bCs/>
          <w:b/>
        </w:rPr>
        <w:t xml:space="preserve">Defensibility:</w:t>
      </w:r>
      <w:r>
        <w:t xml:space="preserve"> </w:t>
      </w:r>
      <w:r>
        <w:t xml:space="preserve">Third joint patent family (Integration Abstraction with Boundary Controls). The canonical schema, the boundary definition language, the per-boundary enforcement engine — all FuzeBox-proprietary. The workforce signals that feed the boundary’s Coordination Tax weighting are rPotential-exclusive.</w:t>
      </w:r>
    </w:p>
    <w:p>
      <w:r>
        <w:pict>
          <v:rect style="width:0;height:1.5pt" o:hralign="center" o:hrstd="t" o:hr="t"/>
        </w:pict>
      </w:r>
    </w:p>
    <w:bookmarkEnd w:id="30"/>
    <w:bookmarkEnd w:id="31"/>
    <w:bookmarkStart w:id="35" w:name="X724c73dd84631095eb93b4d093b5a935f1707d1"/>
    <w:p>
      <w:pPr>
        <w:pStyle w:val="Heading2"/>
      </w:pPr>
      <w:r>
        <w:t xml:space="preserve">Part 4 — Worked Examples Across Three Verticals</w:t>
      </w:r>
    </w:p>
    <w:bookmarkStart w:id="32" w:name="Xbd78c515aff1cdfd6812f83e3eacea0e6b77003"/>
    <w:p>
      <w:pPr>
        <w:pStyle w:val="Heading3"/>
      </w:pPr>
      <w:r>
        <w:t xml:space="preserve">4.1 Vertical One: Ken Garff Service Bay (US Automotive)</w:t>
      </w:r>
    </w:p>
    <w:p>
      <w:pPr>
        <w:pStyle w:val="FirstParagraph"/>
      </w:pPr>
      <w:r>
        <w:rPr>
          <w:bCs/>
          <w:b/>
        </w:rPr>
        <w:t xml:space="preserve">Scenario:</w:t>
      </w:r>
      <w:r>
        <w:t xml:space="preserve"> </w:t>
      </w:r>
      <w:r>
        <w:t xml:space="preserve">Morning tire-season surge. 34 service tickets open across Ken Garff’s Western region in 20 minutes.</w:t>
      </w:r>
    </w:p>
    <w:p>
      <w:pPr>
        <w:pStyle w:val="BodyText"/>
      </w:pPr>
      <w:r>
        <w:rPr>
          <w:bCs/>
          <w:b/>
        </w:rPr>
        <w:t xml:space="preserve">Vendor mix:</w:t>
      </w:r>
      <w:r>
        <w:t xml:space="preserve"> </w:t>
      </w:r>
      <w:r>
        <w:t xml:space="preserve">- Anthropic Claude Opus 4.7 for diagnostic reasoning</w:t>
      </w:r>
      <w:r>
        <w:t xml:space="preserve"> </w:t>
      </w:r>
      <w:r>
        <w:t xml:space="preserve">- OpenAI GPT-5 for customer service and scheduling</w:t>
      </w:r>
      <w:r>
        <w:t xml:space="preserve"> </w:t>
      </w:r>
      <w:r>
        <w:t xml:space="preserve">- Human technicians for safety-critical execution and final signoff</w:t>
      </w:r>
      <w:r>
        <w:t xml:space="preserve"> </w:t>
      </w:r>
      <w:r>
        <w:t xml:space="preserve">- Salesforce Agentforce for CRM workflow orchestration</w:t>
      </w:r>
    </w:p>
    <w:p>
      <w:pPr>
        <w:pStyle w:val="BodyText"/>
      </w:pPr>
      <w:r>
        <w:rPr>
          <w:bCs/>
          <w:b/>
        </w:rPr>
        <w:t xml:space="preserve">Boundary configuration:</w:t>
      </w:r>
    </w:p>
    <w:p>
      <w:pPr>
        <w:numPr>
          <w:ilvl w:val="0"/>
          <w:numId w:val="1005"/>
        </w:numPr>
        <w:pStyle w:val="Compact"/>
      </w:pPr>
      <w:r>
        <w:t xml:space="preserve">Anthropic boundary: high trust, all diagnostic skills allowed, human signoff required for safety_relevant tasks, US-resident endpoints only</w:t>
      </w:r>
    </w:p>
    <w:p>
      <w:pPr>
        <w:numPr>
          <w:ilvl w:val="0"/>
          <w:numId w:val="1005"/>
        </w:numPr>
        <w:pStyle w:val="Compact"/>
      </w:pPr>
      <w:r>
        <w:t xml:space="preserve">OpenAI boundary: medium trust, conversation skills allowed, diagnostic and safety skills excluded, GDPR profile active for EU-resident customers</w:t>
      </w:r>
    </w:p>
    <w:p>
      <w:pPr>
        <w:numPr>
          <w:ilvl w:val="0"/>
          <w:numId w:val="1005"/>
        </w:numPr>
        <w:pStyle w:val="Compact"/>
      </w:pPr>
      <w:r>
        <w:t xml:space="preserve">Human boundary: highest trust, all skills allowed including safety_signoff</w:t>
      </w:r>
    </w:p>
    <w:p>
      <w:pPr>
        <w:numPr>
          <w:ilvl w:val="0"/>
          <w:numId w:val="1005"/>
        </w:numPr>
        <w:pStyle w:val="Compact"/>
      </w:pPr>
      <w:r>
        <w:t xml:space="preserve">Salesforce boundary: low direct trust but high workflow authority, workflow orchestration only, no autonomous decision-making</w:t>
      </w:r>
    </w:p>
    <w:p>
      <w:pPr>
        <w:pStyle w:val="FirstParagraph"/>
      </w:pPr>
      <w:r>
        <w:rPr>
          <w:bCs/>
          <w:b/>
        </w:rPr>
        <w:t xml:space="preserve">GSTI + Coordination Tax response:</w:t>
      </w:r>
    </w:p>
    <w:p>
      <w:pPr>
        <w:pStyle w:val="BodyText"/>
      </w:pPr>
      <w:r>
        <w:t xml:space="preserve">As the surge hits, UOP utilization for certified technicians crosses 85%. FuzeBox responds:</w:t>
      </w:r>
    </w:p>
    <w:p>
      <w:pPr>
        <w:numPr>
          <w:ilvl w:val="0"/>
          <w:numId w:val="1006"/>
        </w:numPr>
        <w:pStyle w:val="Compact"/>
      </w:pPr>
      <w:r>
        <w:t xml:space="preserve">GSTI for</w:t>
      </w:r>
      <w:r>
        <w:t xml:space="preserve"> </w:t>
      </w:r>
      <w:r>
        <w:rPr>
          <w:rStyle w:val="VerbatimChar"/>
        </w:rPr>
        <w:t xml:space="preserve">skill_routine_diagnostics</w:t>
      </w:r>
      <w:r>
        <w:t xml:space="preserve"> </w:t>
      </w:r>
      <w:r>
        <w:t xml:space="preserve">(low strategic weight) drops the agent-cost penalty; routine tasks move to agent-only paths</w:t>
      </w:r>
    </w:p>
    <w:p>
      <w:pPr>
        <w:numPr>
          <w:ilvl w:val="0"/>
          <w:numId w:val="1006"/>
        </w:numPr>
        <w:pStyle w:val="Compact"/>
      </w:pPr>
      <w:r>
        <w:t xml:space="preserve">GSTI for</w:t>
      </w:r>
      <w:r>
        <w:t xml:space="preserve"> </w:t>
      </w:r>
      <w:r>
        <w:rPr>
          <w:rStyle w:val="VerbatimChar"/>
        </w:rPr>
        <w:t xml:space="preserve">skill_complex_diagnostics</w:t>
      </w:r>
      <w:r>
        <w:t xml:space="preserve"> </w:t>
      </w:r>
      <w:r>
        <w:t xml:space="preserve">(high strategic weight, at-drift-risk) increases the human-preservation bonus; complex tasks stay on hybrid paths to preserve technician capability</w:t>
      </w:r>
    </w:p>
    <w:p>
      <w:pPr>
        <w:numPr>
          <w:ilvl w:val="0"/>
          <w:numId w:val="1006"/>
        </w:numPr>
        <w:pStyle w:val="Compact"/>
      </w:pPr>
      <w:r>
        <w:t xml:space="preserve">Coordination Tax for</w:t>
      </w:r>
      <w:r>
        <w:t xml:space="preserve"> </w:t>
      </w:r>
      <w:r>
        <w:rPr>
          <w:rStyle w:val="VerbatimChar"/>
        </w:rPr>
        <w:t xml:space="preserve">workflow_surge_protocol</w:t>
      </w:r>
      <w:r>
        <w:t xml:space="preserve"> </w:t>
      </w:r>
      <w:r>
        <w:t xml:space="preserve">drops because the system auto-routes around overloaded shops</w:t>
      </w:r>
    </w:p>
    <w:p>
      <w:pPr>
        <w:pStyle w:val="FirstParagraph"/>
      </w:pPr>
      <w:r>
        <w:t xml:space="preserve">The Economic Ledger captures 34 executions in 20 minutes. Each writes back UOP_delta and GSTI_delta. The rPotential graph updates in real time. The district manager’s dashboard shows:</w:t>
      </w:r>
      <w:r>
        <w:t xml:space="preserve"> </w:t>
      </w:r>
      <w:r>
        <w:t xml:space="preserve">- 34 tickets handled (vs. typical 22 in same window)</w:t>
      </w:r>
      <w:r>
        <w:t xml:space="preserve"> </w:t>
      </w:r>
      <w:r>
        <w:t xml:space="preserve">- No customer wait time spike</w:t>
      </w:r>
      <w:r>
        <w:t xml:space="preserve"> </w:t>
      </w:r>
      <w:r>
        <w:t xml:space="preserve">- Human Preservation Index held steady</w:t>
      </w:r>
      <w:r>
        <w:t xml:space="preserve"> </w:t>
      </w:r>
      <w:r>
        <w:t xml:space="preserve">- Execution ROI +$1,847 above baseline</w:t>
      </w:r>
    </w:p>
    <w:p>
      <w:pPr>
        <w:pStyle w:val="BodyText"/>
      </w:pPr>
      <w:r>
        <w:t xml:space="preserve">No single vendor could have produced this outcome. Anthropic doesn’t know about the OpenAI route. OpenAI doesn’t know about the human route. Salesforce doesn’t know about the labor state. Only FuzeBox + rPotential, through the boundary controls, the GSTI calculation, and the Economic Ledger, produced the orchestration.</w:t>
      </w:r>
    </w:p>
    <w:bookmarkEnd w:id="32"/>
    <w:bookmarkStart w:id="33" w:name="X4aa3fc7ae0760af50dd4685de1052461f713fbf"/>
    <w:p>
      <w:pPr>
        <w:pStyle w:val="Heading3"/>
      </w:pPr>
      <w:r>
        <w:t xml:space="preserve">4.2 Vertical Two: ARTGROUP Cockpit Compliance (EU Automotive)</w:t>
      </w:r>
    </w:p>
    <w:p>
      <w:pPr>
        <w:pStyle w:val="FirstParagraph"/>
      </w:pPr>
      <w:r>
        <w:rPr>
          <w:bCs/>
          <w:b/>
        </w:rPr>
        <w:t xml:space="preserve">Scenario:</w:t>
      </w:r>
      <w:r>
        <w:t xml:space="preserve"> </w:t>
      </w:r>
      <w:r>
        <w:t xml:space="preserve">ARTGROUP compliance team preparing EU AI Act Article-12 evidence export for a German OEM delivery. Friday deadline.</w:t>
      </w:r>
    </w:p>
    <w:p>
      <w:pPr>
        <w:pStyle w:val="BodyText"/>
      </w:pPr>
      <w:r>
        <w:rPr>
          <w:bCs/>
          <w:b/>
        </w:rPr>
        <w:t xml:space="preserve">Vendor mix:</w:t>
      </w:r>
      <w:r>
        <w:t xml:space="preserve"> </w:t>
      </w:r>
      <w:r>
        <w:t xml:space="preserve">- Anthropic Claude Opus 4.7 for compliance analysis and evidence synthesis</w:t>
      </w:r>
      <w:r>
        <w:t xml:space="preserve"> </w:t>
      </w:r>
      <w:r>
        <w:t xml:space="preserve">- Human compliance leads for review and signoff</w:t>
      </w:r>
      <w:r>
        <w:t xml:space="preserve"> </w:t>
      </w:r>
      <w:r>
        <w:t xml:space="preserve">- No OpenAI (EU deployment, data residency, and explainability profile incompatible)</w:t>
      </w:r>
      <w:r>
        <w:t xml:space="preserve"> </w:t>
      </w:r>
      <w:r>
        <w:t xml:space="preserve">- No Uniphore at this customer for compliance-specific workflow</w:t>
      </w:r>
    </w:p>
    <w:p>
      <w:pPr>
        <w:pStyle w:val="BodyText"/>
      </w:pPr>
      <w:r>
        <w:rPr>
          <w:bCs/>
          <w:b/>
        </w:rPr>
        <w:t xml:space="preserve">Boundary configuration:</w:t>
      </w:r>
    </w:p>
    <w:p>
      <w:pPr>
        <w:numPr>
          <w:ilvl w:val="0"/>
          <w:numId w:val="1007"/>
        </w:numPr>
        <w:pStyle w:val="Compact"/>
      </w:pPr>
      <w:r>
        <w:t xml:space="preserve">Anthropic boundary: EU-resident endpoints mandatory, all compliance skills allowed, human signoff required for any compliance attestation, EU AI Act high-risk profile active, trace retention 7 years</w:t>
      </w:r>
    </w:p>
    <w:p>
      <w:pPr>
        <w:numPr>
          <w:ilvl w:val="0"/>
          <w:numId w:val="1007"/>
        </w:numPr>
        <w:pStyle w:val="Compact"/>
      </w:pPr>
      <w:r>
        <w:t xml:space="preserve">Human boundary: highest trust, signoff authority, certified compliance leads only</w:t>
      </w:r>
    </w:p>
    <w:p>
      <w:pPr>
        <w:pStyle w:val="FirstParagraph"/>
      </w:pPr>
      <w:r>
        <w:rPr>
          <w:bCs/>
          <w:b/>
        </w:rPr>
        <w:t xml:space="preserve">Governance enforcement:</w:t>
      </w:r>
    </w:p>
    <w:p>
      <w:pPr>
        <w:numPr>
          <w:ilvl w:val="0"/>
          <w:numId w:val="1008"/>
        </w:numPr>
        <w:pStyle w:val="Compact"/>
      </w:pPr>
      <w:r>
        <w:t xml:space="preserve">Every Anthropic call validated against EU AI Act Article-12 requirements before dispatch</w:t>
      </w:r>
    </w:p>
    <w:p>
      <w:pPr>
        <w:numPr>
          <w:ilvl w:val="0"/>
          <w:numId w:val="1008"/>
        </w:numPr>
        <w:pStyle w:val="Compact"/>
      </w:pPr>
      <w:r>
        <w:t xml:space="preserve">Every Anthropic response validated for evidence completeness before being attributed to the audit record</w:t>
      </w:r>
    </w:p>
    <w:p>
      <w:pPr>
        <w:numPr>
          <w:ilvl w:val="0"/>
          <w:numId w:val="1008"/>
        </w:numPr>
        <w:pStyle w:val="Compact"/>
      </w:pPr>
      <w:r>
        <w:t xml:space="preserve">GDPR data residency enforced at the boundary (not at the application layer)</w:t>
      </w:r>
    </w:p>
    <w:p>
      <w:pPr>
        <w:numPr>
          <w:ilvl w:val="0"/>
          <w:numId w:val="1008"/>
        </w:numPr>
        <w:pStyle w:val="Compact"/>
      </w:pPr>
      <w:r>
        <w:t xml:space="preserve">WP.29 cybersecurity requirements checked per decision</w:t>
      </w:r>
    </w:p>
    <w:p>
      <w:pPr>
        <w:numPr>
          <w:ilvl w:val="0"/>
          <w:numId w:val="1008"/>
        </w:numPr>
        <w:pStyle w:val="Compact"/>
      </w:pPr>
      <w:r>
        <w:t xml:space="preserve">Cyber Resilience Act obligations logged per decision</w:t>
      </w:r>
    </w:p>
    <w:p>
      <w:pPr>
        <w:pStyle w:val="FirstParagraph"/>
      </w:pPr>
      <w:r>
        <w:rPr>
          <w:bCs/>
          <w:b/>
        </w:rPr>
        <w:t xml:space="preserve">What happens:</w:t>
      </w:r>
    </w:p>
    <w:p>
      <w:pPr>
        <w:pStyle w:val="BodyText"/>
      </w:pPr>
      <w:r>
        <w:t xml:space="preserve">The compliance task enters the governance zone. FuzeBox’s L7 scoring forces hybrid_anthropic_human selection because the governance score for agent-only paths is hard-capped negative under EU AI Act high-risk profile. Anthropic drafts the technical evidence. The compliance lead reviews and signs off. The governance service produces the signed Article-12 JSON export.</w:t>
      </w:r>
    </w:p>
    <w:p>
      <w:pPr>
        <w:pStyle w:val="BodyText"/>
      </w:pPr>
      <w:r>
        <w:t xml:space="preserve">The Economic Ledger records the execution with:</w:t>
      </w:r>
      <w:r>
        <w:t xml:space="preserve"> </w:t>
      </w:r>
      <w:r>
        <w:t xml:space="preserve">- Jurisdictional classification: EU (Germany destination)</w:t>
      </w:r>
      <w:r>
        <w:t xml:space="preserve"> </w:t>
      </w:r>
      <w:r>
        <w:t xml:space="preserve">- Compliance profile: eu_ai_act_high_risk_strict</w:t>
      </w:r>
      <w:r>
        <w:t xml:space="preserve"> </w:t>
      </w:r>
      <w:r>
        <w:t xml:space="preserve">- Evidence bundle: signed, tamper-resistant</w:t>
      </w:r>
      <w:r>
        <w:t xml:space="preserve"> </w:t>
      </w:r>
      <w:r>
        <w:t xml:space="preserve">- Human signoff: captured with cryptographic proof</w:t>
      </w:r>
      <w:r>
        <w:t xml:space="preserve"> </w:t>
      </w:r>
      <w:r>
        <w:t xml:space="preserve">- Evidence export: Article-12 format, signed by FuzeBox and ARTGROUP jointly</w:t>
      </w:r>
    </w:p>
    <w:p>
      <w:pPr>
        <w:pStyle w:val="BodyText"/>
      </w:pPr>
      <w:r>
        <w:t xml:space="preserve">No single vendor could produce this evidence bundle. Anthropic does not ship per-customer jurisdictional governance. They ship a global API. The jurisdictional enforcement, the evidence format, the signoff capture — all FuzeBox boundary controls.</w:t>
      </w:r>
    </w:p>
    <w:p>
      <w:pPr>
        <w:pStyle w:val="BodyText"/>
      </w:pPr>
      <w:r>
        <w:t xml:space="preserve">The auditor walks into ARTGROUP’s Q2 review and sees every decision in the ledger, every evidence export signed and timestamped. The audit takes 40 minutes instead of 40 hours.</w:t>
      </w:r>
    </w:p>
    <w:bookmarkEnd w:id="33"/>
    <w:bookmarkStart w:id="34" w:name="Xc8408198b2ca0d2e32de7843c7cbc2f9ed3405b"/>
    <w:p>
      <w:pPr>
        <w:pStyle w:val="Heading3"/>
      </w:pPr>
      <w:r>
        <w:t xml:space="preserve">4.3 Vertical Three: Loop TV Venue Media Network</w:t>
      </w:r>
    </w:p>
    <w:p>
      <w:pPr>
        <w:pStyle w:val="FirstParagraph"/>
      </w:pPr>
      <w:r>
        <w:rPr>
          <w:bCs/>
          <w:b/>
        </w:rPr>
        <w:t xml:space="preserve">Scenario:</w:t>
      </w:r>
      <w:r>
        <w:t xml:space="preserve"> </w:t>
      </w:r>
      <w:r>
        <w:t xml:space="preserve">Sports bar franchise with 500 venue locations. Each venue has different licensing agreements, different advertising contracts, different regional content restrictions.</w:t>
      </w:r>
    </w:p>
    <w:p>
      <w:pPr>
        <w:pStyle w:val="BodyText"/>
      </w:pPr>
      <w:r>
        <w:rPr>
          <w:bCs/>
          <w:b/>
        </w:rPr>
        <w:t xml:space="preserve">Vendor mix:</w:t>
      </w:r>
      <w:r>
        <w:t xml:space="preserve"> </w:t>
      </w:r>
      <w:r>
        <w:t xml:space="preserve">- OpenAI GPT-5 for content recommendation and scheduling logic</w:t>
      </w:r>
      <w:r>
        <w:t xml:space="preserve"> </w:t>
      </w:r>
      <w:r>
        <w:t xml:space="preserve">- Anthropic Claude for longer-form content analysis and exception handling</w:t>
      </w:r>
      <w:r>
        <w:t xml:space="preserve"> </w:t>
      </w:r>
      <w:r>
        <w:t xml:space="preserve">- Human content moderators for sensitive content review (per jurisdiction)</w:t>
      </w:r>
      <w:r>
        <w:t xml:space="preserve"> </w:t>
      </w:r>
      <w:r>
        <w:t xml:space="preserve">- Salesforce Agentforce for CRM-side venue operator communication</w:t>
      </w:r>
    </w:p>
    <w:p>
      <w:pPr>
        <w:pStyle w:val="BodyText"/>
      </w:pPr>
      <w:r>
        <w:rPr>
          <w:bCs/>
          <w:b/>
        </w:rPr>
        <w:t xml:space="preserve">Boundary configuration:</w:t>
      </w:r>
    </w:p>
    <w:p>
      <w:pPr>
        <w:pStyle w:val="BodyText"/>
      </w:pPr>
      <w:r>
        <w:t xml:space="preserve">Each venue location creates its own boundary:</w:t>
      </w:r>
    </w:p>
    <w:p>
      <w:pPr>
        <w:numPr>
          <w:ilvl w:val="0"/>
          <w:numId w:val="1009"/>
        </w:numPr>
        <w:pStyle w:val="Compact"/>
      </w:pPr>
      <w:r>
        <w:t xml:space="preserve">Venue 1 (Los Angeles sports bar): OpenAI high trust for content selection, Anthropic backup for exceptions, human moderator for alcohol-adjacent content, LA-specific ad restrictions</w:t>
      </w:r>
    </w:p>
    <w:p>
      <w:pPr>
        <w:numPr>
          <w:ilvl w:val="0"/>
          <w:numId w:val="1009"/>
        </w:numPr>
        <w:pStyle w:val="Compact"/>
      </w:pPr>
      <w:r>
        <w:t xml:space="preserve">Venue 2 (Miami venue): OpenAI high trust, different regional ad profile, Spanish-language human moderator pool</w:t>
      </w:r>
    </w:p>
    <w:p>
      <w:pPr>
        <w:numPr>
          <w:ilvl w:val="0"/>
          <w:numId w:val="1009"/>
        </w:numPr>
        <w:pStyle w:val="Compact"/>
      </w:pPr>
      <w:r>
        <w:t xml:space="preserve">Venue 3 (Paris venue — EU): OpenAI medium trust only (GDPR profile), Anthropic primary for longer-form (EU-resident), French human moderator pool, strict EU AI Act content profile</w:t>
      </w:r>
    </w:p>
    <w:p>
      <w:pPr>
        <w:pStyle w:val="FirstParagraph"/>
      </w:pPr>
      <w:r>
        <w:rPr>
          <w:bCs/>
          <w:b/>
        </w:rPr>
        <w:t xml:space="preserve">What happens:</w:t>
      </w:r>
    </w:p>
    <w:p>
      <w:pPr>
        <w:pStyle w:val="BodyText"/>
      </w:pPr>
      <w:r>
        <w:t xml:space="preserve">At each venue, the same FuzeBox control plane orchestrates different vendor mixes under different boundary controls. The Economic Ledger tracks cost, performance, and outcome per venue. The Coordination Tax differs per venue based on whether content approval flows through local humans or centralized humans.</w:t>
      </w:r>
    </w:p>
    <w:p>
      <w:pPr>
        <w:pStyle w:val="BodyText"/>
      </w:pPr>
      <w:r>
        <w:t xml:space="preserve">The venue operator sees a single pane of glass. The FuzeBox control plane handles 500 different boundary configurations simultaneously. No single vendor could do this because each vendor sees only its own traffic, not the mix.</w:t>
      </w:r>
    </w:p>
    <w:p>
      <w:r>
        <w:pict>
          <v:rect style="width:0;height:1.5pt" o:hralign="center" o:hrstd="t" o:hr="t"/>
        </w:pict>
      </w:r>
    </w:p>
    <w:bookmarkEnd w:id="34"/>
    <w:bookmarkEnd w:id="35"/>
    <w:bookmarkStart w:id="40" w:name="part-5-what-makes-fuzebox-irreplaceable"/>
    <w:p>
      <w:pPr>
        <w:pStyle w:val="Heading2"/>
      </w:pPr>
      <w:r>
        <w:t xml:space="preserve">Part 5 — What Makes FuzeBox Irreplaceable</w:t>
      </w:r>
    </w:p>
    <w:bookmarkStart w:id="36" w:name="the-five-things-only-fuzebox-does"/>
    <w:p>
      <w:pPr>
        <w:pStyle w:val="Heading3"/>
      </w:pPr>
      <w:r>
        <w:t xml:space="preserve">5.1 The Five Things Only FuzeBox Does</w:t>
      </w:r>
    </w:p>
    <w:p>
      <w:pPr>
        <w:pStyle w:val="FirstParagraph"/>
      </w:pPr>
      <w:r>
        <w:t xml:space="preserve">Compiled from the architecture above, the assets that no single vendor can replicate:</w:t>
      </w:r>
    </w:p>
    <w:p>
      <w:pPr>
        <w:numPr>
          <w:ilvl w:val="0"/>
          <w:numId w:val="1010"/>
        </w:numPr>
      </w:pPr>
      <w:r>
        <w:rPr>
          <w:bCs/>
          <w:b/>
        </w:rPr>
        <w:t xml:space="preserve">Measures labor and agent outcomes simultaneously, across every vendor runtime, with the same schema</w:t>
      </w:r>
      <w:r>
        <w:t xml:space="preserve"> </w:t>
      </w:r>
      <w:r>
        <w:t xml:space="preserve">— The Execution Economic Ledger. No vendor can produce this because no vendor sees its competitors’ traces.</w:t>
      </w:r>
    </w:p>
    <w:p>
      <w:pPr>
        <w:numPr>
          <w:ilvl w:val="0"/>
          <w:numId w:val="1010"/>
        </w:numPr>
      </w:pPr>
      <w:r>
        <w:rPr>
          <w:bCs/>
          <w:b/>
        </w:rPr>
        <w:t xml:space="preserve">Enforces per-customer, per-boundary governance rules that differ by vendor inside the same enterprise</w:t>
      </w:r>
      <w:r>
        <w:t xml:space="preserve"> </w:t>
      </w:r>
      <w:r>
        <w:t xml:space="preserve">— The Integration Abstraction Layer with Boundary Controls. No vendor can enforce rules for a competitor’s API.</w:t>
      </w:r>
    </w:p>
    <w:p>
      <w:pPr>
        <w:numPr>
          <w:ilvl w:val="0"/>
          <w:numId w:val="1010"/>
        </w:numPr>
      </w:pPr>
      <w:r>
        <w:rPr>
          <w:bCs/>
          <w:b/>
        </w:rPr>
        <w:t xml:space="preserve">Dynamically updates agent authority, skill authorization, and policy constraints in real time based on telemetry</w:t>
      </w:r>
      <w:r>
        <w:t xml:space="preserve"> </w:t>
      </w:r>
      <w:r>
        <w:t xml:space="preserve">— The Dynamic Instruction Runtime at L9. No vendor has this because no vendor has a cross-vendor telemetry view that drives authority changes.</w:t>
      </w:r>
    </w:p>
    <w:p>
      <w:pPr>
        <w:numPr>
          <w:ilvl w:val="0"/>
          <w:numId w:val="1010"/>
        </w:numPr>
      </w:pPr>
      <w:r>
        <w:rPr>
          <w:bCs/>
          <w:b/>
        </w:rPr>
        <w:t xml:space="preserve">Computes GSTI and Coordination Tax as operational scalars that influence routing decisions</w:t>
      </w:r>
      <w:r>
        <w:t xml:space="preserve"> </w:t>
      </w:r>
      <w:r>
        <w:t xml:space="preserve">— The Skills Authority and the scoring engine. No vendor has the workforce data; rPotential has the data but does not define the algorithms.</w:t>
      </w:r>
    </w:p>
    <w:p>
      <w:pPr>
        <w:numPr>
          <w:ilvl w:val="0"/>
          <w:numId w:val="1010"/>
        </w:numPr>
      </w:pPr>
      <w:r>
        <w:rPr>
          <w:bCs/>
          <w:b/>
        </w:rPr>
        <w:t xml:space="preserve">Produces audit and attestation artifacts across all vendor boundaries in a single framework</w:t>
      </w:r>
      <w:r>
        <w:t xml:space="preserve"> </w:t>
      </w:r>
      <w:r>
        <w:t xml:space="preserve">— The Audit &amp; Attestation layer. No vendor can produce cross-vendor compliance evidence because vendors produce vendor-specific evidence only.</w:t>
      </w:r>
    </w:p>
    <w:bookmarkEnd w:id="36"/>
    <w:bookmarkStart w:id="37" w:name="why-rpotential-needs-fuzebox"/>
    <w:p>
      <w:pPr>
        <w:pStyle w:val="Heading3"/>
      </w:pPr>
      <w:r>
        <w:t xml:space="preserve">5.2 Why rPotential Needs FuzeBox</w:t>
      </w:r>
    </w:p>
    <w:p>
      <w:pPr>
        <w:pStyle w:val="FirstParagraph"/>
      </w:pPr>
      <w:r>
        <w:t xml:space="preserve">rPotential’s workforce data is their core asset. But workforce data alone is retrospective — it describes what the workforce looks like, not what routing decisions to make.</w:t>
      </w:r>
    </w:p>
    <w:p>
      <w:pPr>
        <w:pStyle w:val="BodyText"/>
      </w:pPr>
      <w:r>
        <w:t xml:space="preserve">For rPotential’s data to be operationally meaningful in production enterprise AI deployments, someone has to:</w:t>
      </w:r>
      <w:r>
        <w:t xml:space="preserve"> </w:t>
      </w:r>
      <w:r>
        <w:t xml:space="preserve">- Consume the data in real time during execution decisions</w:t>
      </w:r>
      <w:r>
        <w:t xml:space="preserve"> </w:t>
      </w:r>
      <w:r>
        <w:t xml:space="preserve">- Translate it into scoring inputs that influence routing</w:t>
      </w:r>
      <w:r>
        <w:t xml:space="preserve"> </w:t>
      </w:r>
      <w:r>
        <w:t xml:space="preserve">- Write back the outcomes so the data stays current</w:t>
      </w:r>
      <w:r>
        <w:t xml:space="preserve"> </w:t>
      </w:r>
      <w:r>
        <w:t xml:space="preserve">- Do all of this across every vendor runtime the enterprise uses</w:t>
      </w:r>
    </w:p>
    <w:p>
      <w:pPr>
        <w:pStyle w:val="BodyText"/>
      </w:pPr>
      <w:r>
        <w:t xml:space="preserve">That someone is FuzeBox. Without FuzeBox:</w:t>
      </w:r>
      <w:r>
        <w:t xml:space="preserve"> </w:t>
      </w:r>
      <w:r>
        <w:t xml:space="preserve">- rPotential’s data ends up in dashboards, not in decisions</w:t>
      </w:r>
      <w:r>
        <w:t xml:space="preserve"> </w:t>
      </w:r>
      <w:r>
        <w:t xml:space="preserve">- Or rPotential licenses into each runtime separately (Uniphore, Anthropic, OpenAI, Salesforce) and maintains N integrations with divergent data shapes</w:t>
      </w:r>
      <w:r>
        <w:t xml:space="preserve"> </w:t>
      </w:r>
      <w:r>
        <w:t xml:space="preserve">- Or rPotential is absorbed into a single runtime and loses its multi-vendor reach</w:t>
      </w:r>
    </w:p>
    <w:p>
      <w:pPr>
        <w:pStyle w:val="BodyText"/>
      </w:pPr>
      <w:r>
        <w:t xml:space="preserve">With FuzeBox:</w:t>
      </w:r>
      <w:r>
        <w:t xml:space="preserve"> </w:t>
      </w:r>
      <w:r>
        <w:t xml:space="preserve">- rPotential’s data becomes the governing signal for every routing decision across every runtime</w:t>
      </w:r>
      <w:r>
        <w:t xml:space="preserve"> </w:t>
      </w:r>
      <w:r>
        <w:t xml:space="preserve">- A single integration (rPotential → FuzeBox) reaches every vendor through FuzeBox’s adapter gateway</w:t>
      </w:r>
      <w:r>
        <w:t xml:space="preserve"> </w:t>
      </w:r>
      <w:r>
        <w:t xml:space="preserve">- rPotential’s data compounds in value as the Economic Ledger proves the ROI of workforce-aware routing</w:t>
      </w:r>
      <w:r>
        <w:t xml:space="preserve"> </w:t>
      </w:r>
      <w:r>
        <w:t xml:space="preserve">- The joint IP filings lock the combination against competitive acquisition</w:t>
      </w:r>
    </w:p>
    <w:bookmarkEnd w:id="37"/>
    <w:bookmarkStart w:id="38" w:name="why-each-runtime-vendor-needs-fuzebox"/>
    <w:p>
      <w:pPr>
        <w:pStyle w:val="Heading3"/>
      </w:pPr>
      <w:r>
        <w:t xml:space="preserve">5.3 Why Each Runtime Vendor Needs FuzeBox</w:t>
      </w:r>
    </w:p>
    <w:p>
      <w:pPr>
        <w:pStyle w:val="FirstParagraph"/>
      </w:pPr>
      <w:r>
        <w:rPr>
          <w:bCs/>
          <w:b/>
        </w:rPr>
        <w:t xml:space="preserve">Anthropic</w:t>
      </w:r>
      <w:r>
        <w:t xml:space="preserve"> </w:t>
      </w:r>
      <w:r>
        <w:t xml:space="preserve">needs FuzeBox because:</w:t>
      </w:r>
      <w:r>
        <w:t xml:space="preserve"> </w:t>
      </w:r>
      <w:r>
        <w:t xml:space="preserve">- Their enterprise Fortune 500 sales motion stalls on governance, not on model quality</w:t>
      </w:r>
      <w:r>
        <w:t xml:space="preserve"> </w:t>
      </w:r>
      <w:r>
        <w:t xml:space="preserve">- Without cross-vendor neutrality, they cannot be positioned to regulated buyers who require multi-vendor options</w:t>
      </w:r>
      <w:r>
        <w:t xml:space="preserve"> </w:t>
      </w:r>
      <w:r>
        <w:t xml:space="preserve">- Without workforce-aware routing, they lose the labor-preservation narrative that matters to CIOs and boards</w:t>
      </w:r>
      <w:r>
        <w:t xml:space="preserve"> </w:t>
      </w:r>
      <w:r>
        <w:t xml:space="preserve">- With FuzeBox, every AEOS deployment drives Claude API consumption while the governance story comes from the neutral control plane</w:t>
      </w:r>
    </w:p>
    <w:p>
      <w:pPr>
        <w:pStyle w:val="BodyText"/>
      </w:pPr>
      <w:r>
        <w:rPr>
          <w:bCs/>
          <w:b/>
        </w:rPr>
        <w:t xml:space="preserve">OpenAI</w:t>
      </w:r>
      <w:r>
        <w:t xml:space="preserve"> </w:t>
      </w:r>
      <w:r>
        <w:t xml:space="preserve">needs FuzeBox because:</w:t>
      </w:r>
      <w:r>
        <w:t xml:space="preserve"> </w:t>
      </w:r>
      <w:r>
        <w:t xml:space="preserve">- Same enterprise governance gap</w:t>
      </w:r>
      <w:r>
        <w:t xml:space="preserve"> </w:t>
      </w:r>
      <w:r>
        <w:t xml:space="preserve">- Their runtime is the most open in terms of developer adoption, but that openness is a liability at the enterprise level without a control plane above it</w:t>
      </w:r>
      <w:r>
        <w:t xml:space="preserve"> </w:t>
      </w:r>
      <w:r>
        <w:t xml:space="preserve">- With FuzeBox, every AEOS deployment drives GPT API consumption; without FuzeBox, enterprise buyers churn to Anthropic for the perceived governance advantage</w:t>
      </w:r>
    </w:p>
    <w:p>
      <w:pPr>
        <w:pStyle w:val="BodyText"/>
      </w:pPr>
      <w:r>
        <w:rPr>
          <w:bCs/>
          <w:b/>
        </w:rPr>
        <w:t xml:space="preserve">Uniphore</w:t>
      </w:r>
      <w:r>
        <w:t xml:space="preserve"> </w:t>
      </w:r>
      <w:r>
        <w:t xml:space="preserve">needs FuzeBox because:</w:t>
      </w:r>
      <w:r>
        <w:t xml:space="preserve"> </w:t>
      </w:r>
      <w:r>
        <w:t xml:space="preserve">- They are attempting to be a control plane themselves but lack the workforce layer</w:t>
      </w:r>
      <w:r>
        <w:t xml:space="preserve"> </w:t>
      </w:r>
      <w:r>
        <w:t xml:space="preserve">- FuzeBox as the control plane gives Uniphore distribution to regulated enterprises they cannot reach directly</w:t>
      </w:r>
      <w:r>
        <w:t xml:space="preserve"> </w:t>
      </w:r>
      <w:r>
        <w:t xml:space="preserve">- Without FuzeBox, Uniphore remains a CX-vertical walled garden. With FuzeBox, Uniphore becomes one candidate runtime inside a broader enterprise deployment</w:t>
      </w:r>
      <w:r>
        <w:t xml:space="preserve"> </w:t>
      </w:r>
      <w:r>
        <w:t xml:space="preserve">- This is uncomfortable for Uniphore but commercially better than being disintermediated entirely</w:t>
      </w:r>
    </w:p>
    <w:p>
      <w:pPr>
        <w:pStyle w:val="BodyText"/>
      </w:pPr>
      <w:r>
        <w:rPr>
          <w:bCs/>
          <w:b/>
        </w:rPr>
        <w:t xml:space="preserve">Salesforce</w:t>
      </w:r>
      <w:r>
        <w:t xml:space="preserve"> </w:t>
      </w:r>
      <w:r>
        <w:t xml:space="preserve">needs FuzeBox because:</w:t>
      </w:r>
      <w:r>
        <w:t xml:space="preserve"> </w:t>
      </w:r>
      <w:r>
        <w:t xml:space="preserve">- Agentforce is strong on workflow but weak on cross-vendor governance</w:t>
      </w:r>
      <w:r>
        <w:t xml:space="preserve"> </w:t>
      </w:r>
      <w:r>
        <w:t xml:space="preserve">- Enterprise CIOs are asking for governance that spans Salesforce and non-Salesforce execution</w:t>
      </w:r>
      <w:r>
        <w:t xml:space="preserve"> </w:t>
      </w:r>
      <w:r>
        <w:t xml:space="preserve">- With FuzeBox, Agentforce integrates into a broader enterprise AI operating system rather than trying to be the operating system itself</w:t>
      </w:r>
    </w:p>
    <w:bookmarkEnd w:id="38"/>
    <w:bookmarkStart w:id="39" w:name="the-competitive-switzerland-position"/>
    <w:p>
      <w:pPr>
        <w:pStyle w:val="Heading3"/>
      </w:pPr>
      <w:r>
        <w:t xml:space="preserve">5.4 The Competitive Switzerland Position</w:t>
      </w:r>
    </w:p>
    <w:p>
      <w:pPr>
        <w:pStyle w:val="FirstParagraph"/>
      </w:pPr>
      <w:r>
        <w:t xml:space="preserve">FuzeBox is Switzerland not because it is impartial. FuzeBox is Switzerland because</w:t>
      </w:r>
      <w:r>
        <w:t xml:space="preserve"> </w:t>
      </w:r>
      <w:r>
        <w:rPr>
          <w:bCs/>
          <w:b/>
        </w:rPr>
        <w:t xml:space="preserve">it is essential to every side simultaneously.</w:t>
      </w:r>
    </w:p>
    <w:p>
      <w:pPr>
        <w:numPr>
          <w:ilvl w:val="0"/>
          <w:numId w:val="1011"/>
        </w:numPr>
        <w:pStyle w:val="Compact"/>
      </w:pPr>
      <w:r>
        <w:t xml:space="preserve">Essential to rPotential: distribution layer that makes their data operational across every runtime</w:t>
      </w:r>
    </w:p>
    <w:p>
      <w:pPr>
        <w:numPr>
          <w:ilvl w:val="0"/>
          <w:numId w:val="1011"/>
        </w:numPr>
        <w:pStyle w:val="Compact"/>
      </w:pPr>
      <w:r>
        <w:t xml:space="preserve">Essential to Anthropic: governance layer that unlocks regulated enterprise deals</w:t>
      </w:r>
    </w:p>
    <w:p>
      <w:pPr>
        <w:numPr>
          <w:ilvl w:val="0"/>
          <w:numId w:val="1011"/>
        </w:numPr>
        <w:pStyle w:val="Compact"/>
      </w:pPr>
      <w:r>
        <w:t xml:space="preserve">Essential to OpenAI: governance layer that unlocks regulated enterprise deals</w:t>
      </w:r>
    </w:p>
    <w:p>
      <w:pPr>
        <w:numPr>
          <w:ilvl w:val="0"/>
          <w:numId w:val="1011"/>
        </w:numPr>
        <w:pStyle w:val="Compact"/>
      </w:pPr>
      <w:r>
        <w:t xml:space="preserve">Essential to Salesforce: cross-vendor layer that makes Agentforce an enterprise platform rather than a walled garden</w:t>
      </w:r>
    </w:p>
    <w:p>
      <w:pPr>
        <w:numPr>
          <w:ilvl w:val="0"/>
          <w:numId w:val="1011"/>
        </w:numPr>
        <w:pStyle w:val="Compact"/>
      </w:pPr>
      <w:r>
        <w:t xml:space="preserve">Essential to Uniphore: distribution and governance layer (uncomfortably essential, but essential)</w:t>
      </w:r>
    </w:p>
    <w:p>
      <w:pPr>
        <w:numPr>
          <w:ilvl w:val="0"/>
          <w:numId w:val="1011"/>
        </w:numPr>
        <w:pStyle w:val="Compact"/>
      </w:pPr>
      <w:r>
        <w:t xml:space="preserve">Essential to enterprises: the operating system that makes multi-vendor AI governable and economical</w:t>
      </w:r>
    </w:p>
    <w:p>
      <w:pPr>
        <w:pStyle w:val="FirstParagraph"/>
      </w:pPr>
      <w:r>
        <w:t xml:space="preserve">Each party’s best alternative is worse than partnership with FuzeBox. That is what makes Switzerland’s position durable.</w:t>
      </w:r>
    </w:p>
    <w:p>
      <w:r>
        <w:pict>
          <v:rect style="width:0;height:1.5pt" o:hralign="center" o:hrstd="t" o:hr="t"/>
        </w:pict>
      </w:r>
    </w:p>
    <w:bookmarkEnd w:id="39"/>
    <w:bookmarkEnd w:id="40"/>
    <w:bookmarkStart w:id="41" w:name="Xc3c59a58c7f9a091fd7ba032bfa45882d5893fa"/>
    <w:p>
      <w:pPr>
        <w:pStyle w:val="Heading2"/>
      </w:pPr>
      <w:r>
        <w:t xml:space="preserve">Part 6 — The Build Plan (Engineering Summary)</w:t>
      </w:r>
    </w:p>
    <w:p>
      <w:pPr>
        <w:pStyle w:val="FirstParagraph"/>
      </w:pPr>
      <w:r>
        <w:t xml:space="preserve">Engineering priorities for the 12-month plan:</w:t>
      </w:r>
    </w:p>
    <w:p>
      <w:pPr>
        <w:pStyle w:val="BodyText"/>
      </w:pPr>
      <w:r>
        <w:rPr>
          <w:bCs/>
          <w:b/>
        </w:rPr>
        <w:t xml:space="preserve">Q2 2026 (April – June) — Foundation</w:t>
      </w:r>
      <w:r>
        <w:t xml:space="preserve"> </w:t>
      </w:r>
      <w:r>
        <w:t xml:space="preserve">- Canonical schema (all 12 layer types)</w:t>
      </w:r>
      <w:r>
        <w:t xml:space="preserve"> </w:t>
      </w:r>
      <w:r>
        <w:t xml:space="preserve">- UEF Service in Go (L7 core)</w:t>
      </w:r>
      <w:r>
        <w:t xml:space="preserve"> </w:t>
      </w:r>
      <w:r>
        <w:t xml:space="preserve">- Skills Authority service in Python (L3)</w:t>
      </w:r>
      <w:r>
        <w:t xml:space="preserve"> </w:t>
      </w:r>
      <w:r>
        <w:t xml:space="preserve">- Economic Ledger service in Go (L11 append-only, ClickHouse)</w:t>
      </w:r>
      <w:r>
        <w:t xml:space="preserve"> </w:t>
      </w:r>
      <w:r>
        <w:t xml:space="preserve">- rPotential Adapter in TypeScript (L6 bridge, mock + production)</w:t>
      </w:r>
      <w:r>
        <w:t xml:space="preserve"> </w:t>
      </w:r>
      <w:r>
        <w:t xml:space="preserve">- Anthropic MCP Adapter (L8 first production adapter)</w:t>
      </w:r>
      <w:r>
        <w:t xml:space="preserve"> </w:t>
      </w:r>
      <w:r>
        <w:t xml:space="preserve">- OpenAI AgentKit Adapter (L8 second production adapter)</w:t>
      </w:r>
      <w:r>
        <w:t xml:space="preserve"> </w:t>
      </w:r>
      <w:r>
        <w:t xml:space="preserve">- Ken Garff vertical end-to-end demo</w:t>
      </w:r>
    </w:p>
    <w:p>
      <w:pPr>
        <w:pStyle w:val="BodyText"/>
      </w:pPr>
      <w:r>
        <w:rPr>
          <w:bCs/>
          <w:b/>
        </w:rPr>
        <w:t xml:space="preserve">Q3 2026 (July – September) — Governance and Reach</w:t>
      </w:r>
      <w:r>
        <w:t xml:space="preserve"> </w:t>
      </w:r>
      <w:r>
        <w:t xml:space="preserve">- Governance Service (L12 with policy packs and evidence export)</w:t>
      </w:r>
      <w:r>
        <w:t xml:space="preserve"> </w:t>
      </w:r>
      <w:r>
        <w:t xml:space="preserve">- Salesforce Agentforce Adapter (L8)</w:t>
      </w:r>
      <w:r>
        <w:t xml:space="preserve"> </w:t>
      </w:r>
      <w:r>
        <w:t xml:space="preserve">- Cloudflare Project Think Adapter (L8)</w:t>
      </w:r>
      <w:r>
        <w:t xml:space="preserve"> </w:t>
      </w:r>
      <w:r>
        <w:t xml:space="preserve">- WorkOS FGA integration (L4 per-agent authorization)</w:t>
      </w:r>
      <w:r>
        <w:t xml:space="preserve"> </w:t>
      </w:r>
      <w:r>
        <w:t xml:space="preserve">- Dynamic Instruction Runtime (L9 — sidecar pattern)</w:t>
      </w:r>
      <w:r>
        <w:t xml:space="preserve"> </w:t>
      </w:r>
      <w:r>
        <w:t xml:space="preserve">- ARTGROUP vertical end-to-end with EU AI Act Article-12 export</w:t>
      </w:r>
      <w:r>
        <w:t xml:space="preserve"> </w:t>
      </w:r>
      <w:r>
        <w:t xml:space="preserve">- JP Morgan raise close</w:t>
      </w:r>
    </w:p>
    <w:p>
      <w:pPr>
        <w:pStyle w:val="BodyText"/>
      </w:pPr>
      <w:r>
        <w:rPr>
          <w:bCs/>
          <w:b/>
        </w:rPr>
        <w:t xml:space="preserve">Q4 2026 (October – December) — Economic Ledger as SKU and EAI</w:t>
      </w:r>
      <w:r>
        <w:t xml:space="preserve"> </w:t>
      </w:r>
      <w:r>
        <w:t xml:space="preserve">- Enterprise Autonomy Index SKU with joint FuzeBox + rPotential attestation</w:t>
      </w:r>
      <w:r>
        <w:t xml:space="preserve"> </w:t>
      </w:r>
      <w:r>
        <w:t xml:space="preserve">- Benchmarking dataset across tenants</w:t>
      </w:r>
      <w:r>
        <w:t xml:space="preserve"> </w:t>
      </w:r>
      <w:r>
        <w:t xml:space="preserve">- Uniphore Adapter (L8) treating Uniphore as one candidate runtime</w:t>
      </w:r>
      <w:r>
        <w:t xml:space="preserve"> </w:t>
      </w:r>
      <w:r>
        <w:t xml:space="preserve">- 5–10 anchor customers signed</w:t>
      </w:r>
      <w:r>
        <w:t xml:space="preserve"> </w:t>
      </w:r>
      <w:r>
        <w:t xml:space="preserve">- Second-wave patent filings (full utility applications)</w:t>
      </w:r>
    </w:p>
    <w:p>
      <w:pPr>
        <w:pStyle w:val="BodyText"/>
      </w:pPr>
      <w:r>
        <w:rPr>
          <w:bCs/>
          <w:b/>
        </w:rPr>
        <w:t xml:space="preserve">Q1 2027 — Expansion</w:t>
      </w:r>
      <w:r>
        <w:t xml:space="preserve"> </w:t>
      </w:r>
      <w:r>
        <w:t xml:space="preserve">- Runtime Capability Generation (L9 extension — PermaShip-class integration)</w:t>
      </w:r>
      <w:r>
        <w:t xml:space="preserve"> </w:t>
      </w:r>
      <w:r>
        <w:t xml:space="preserve">- EU regional deployment</w:t>
      </w:r>
      <w:r>
        <w:t xml:space="preserve"> </w:t>
      </w:r>
      <w:r>
        <w:t xml:space="preserve">- Adecco Group channel launch</w:t>
      </w:r>
      <w:r>
        <w:t xml:space="preserve"> </w:t>
      </w:r>
      <w:r>
        <w:t xml:space="preserve">- Public release of the cross-tenant benchmarking dataset</w:t>
      </w:r>
    </w:p>
    <w:p>
      <w:r>
        <w:pict>
          <v:rect style="width:0;height:1.5pt" o:hralign="center" o:hrstd="t" o:hr="t"/>
        </w:pict>
      </w:r>
    </w:p>
    <w:bookmarkEnd w:id="41"/>
    <w:bookmarkStart w:id="42" w:name="part-7-what-happens-next"/>
    <w:p>
      <w:pPr>
        <w:pStyle w:val="Heading2"/>
      </w:pPr>
      <w:r>
        <w:t xml:space="preserve">Part 7 — What Happens Next</w:t>
      </w:r>
    </w:p>
    <w:p>
      <w:pPr>
        <w:pStyle w:val="FirstParagraph"/>
      </w:pPr>
      <w:r>
        <w:t xml:space="preserve">Three things happen in the next 30 days based on this architecture:</w:t>
      </w:r>
    </w:p>
    <w:p>
      <w:pPr>
        <w:pStyle w:val="BodyText"/>
      </w:pPr>
      <w:r>
        <w:rPr>
          <w:bCs/>
          <w:b/>
        </w:rPr>
        <w:t xml:space="preserve">First, Greg Shewmaker gets the rPotential Partnership White Paper, the Memorandum of Plan of Action, the Reference Code, and a 60-day exclusivity standstill request.</w:t>
      </w:r>
      <w:r>
        <w:t xml:space="preserve"> </w:t>
      </w:r>
      <w:r>
        <w:t xml:space="preserve">He sees the architecture, he sees the code, and he understands the indispensability in both directions.</w:t>
      </w:r>
    </w:p>
    <w:p>
      <w:pPr>
        <w:pStyle w:val="BodyText"/>
      </w:pPr>
      <w:r>
        <w:rPr>
          <w:bCs/>
          <w:b/>
        </w:rPr>
        <w:t xml:space="preserve">Second, provisional patent filings go in with rPotential as joint co-inventor on five patent families.</w:t>
      </w:r>
      <w:r>
        <w:t xml:space="preserve"> </w:t>
      </w:r>
      <w:r>
        <w:t xml:space="preserve">This establishes priority dates that cannot be unwound.</w:t>
      </w:r>
    </w:p>
    <w:p>
      <w:pPr>
        <w:pStyle w:val="BodyText"/>
      </w:pPr>
      <w:r>
        <w:rPr>
          <w:bCs/>
          <w:b/>
        </w:rPr>
        <w:t xml:space="preserve">Third, Ken Garff and ARTGROUP move to LOI status as joint FuzeBox + rPotential customers.</w:t>
      </w:r>
      <w:r>
        <w:t xml:space="preserve"> </w:t>
      </w:r>
      <w:r>
        <w:t xml:space="preserve">These become the proof-of-traction for the JP Morgan conversation.</w:t>
      </w:r>
    </w:p>
    <w:p>
      <w:pPr>
        <w:pStyle w:val="BodyText"/>
      </w:pPr>
      <w:r>
        <w:t xml:space="preserve">If all three happen by mid-May, the Uniphore threat is neutralized by structural lock, not by outbidding. rPotential stays because leaving costs them more than staying. Uniphore either integrates as one runtime among many or loses the enterprise market to deployments running on FuzeBox.</w:t>
      </w:r>
    </w:p>
    <w:p>
      <w:r>
        <w:pict>
          <v:rect style="width:0;height:1.5pt" o:hralign="center" o:hrstd="t" o:hr="t"/>
        </w:pict>
      </w:r>
    </w:p>
    <w:bookmarkEnd w:id="42"/>
    <w:bookmarkStart w:id="43" w:name="Xb2cb9b671d661e06b8c3ac106da6c7830126f45"/>
    <w:p>
      <w:pPr>
        <w:pStyle w:val="Heading2"/>
      </w:pPr>
      <w:r>
        <w:t xml:space="preserve">Part 8 — The One Thing Engineering Needs to Understand</w:t>
      </w:r>
    </w:p>
    <w:p>
      <w:pPr>
        <w:pStyle w:val="FirstParagraph"/>
      </w:pPr>
      <w:r>
        <w:t xml:space="preserve">The GSTI algorithm, the Coordination Tax algorithm, the Economic Ledger schema, and the Boundary Controls language are not features. They are the operating system.</w:t>
      </w:r>
    </w:p>
    <w:p>
      <w:pPr>
        <w:pStyle w:val="BodyText"/>
      </w:pPr>
      <w:r>
        <w:t xml:space="preserve">Every other enterprise AI product is building features inside their own box. FuzeBox is building the operating system above the boxes. That operating system has its own schema, its own algorithms, its own feedback loops, and its own governance enforcement model.</w:t>
      </w:r>
    </w:p>
    <w:p>
      <w:pPr>
        <w:pStyle w:val="BodyText"/>
      </w:pPr>
      <w:r>
        <w:t xml:space="preserve">When Dulay and Danny review this document tonight, the question is not</w:t>
      </w:r>
      <w:r>
        <w:t xml:space="preserve"> </w:t>
      </w:r>
      <w:r>
        <w:t xml:space="preserve">“</w:t>
      </w:r>
      <w:r>
        <w:t xml:space="preserve">can we build each piece?</w:t>
      </w:r>
      <w:r>
        <w:t xml:space="preserve">”</w:t>
      </w:r>
      <w:r>
        <w:t xml:space="preserve"> </w:t>
      </w:r>
      <w:r>
        <w:t xml:space="preserve">The question is</w:t>
      </w:r>
      <w:r>
        <w:t xml:space="preserve"> </w:t>
      </w:r>
      <w:r>
        <w:t xml:space="preserve">“</w:t>
      </w:r>
      <w:r>
        <w:t xml:space="preserve">do we understand that these four assets — GSTI, Coordination Tax, Economic Ledger, Boundary Controls — are the single most defensible IP portfolio we will ever create, and are we building them with the rigor that matches their strategic value?</w:t>
      </w:r>
      <w:r>
        <w:t xml:space="preserve">”</w:t>
      </w:r>
    </w:p>
    <w:p>
      <w:pPr>
        <w:pStyle w:val="BodyText"/>
      </w:pPr>
      <w:r>
        <w:t xml:space="preserve">The answer to that question determines whether FuzeBox becomes the operating system for the agentic enterprise or becomes a feature inside someone else’s platform.</w:t>
      </w:r>
    </w:p>
    <w:p>
      <w:pPr>
        <w:pStyle w:val="BodyText"/>
      </w:pPr>
      <w:r>
        <w:rPr>
          <w:iCs/>
          <w:i/>
        </w:rPr>
        <w:t xml:space="preserve">End of white paper.</w:t>
      </w:r>
    </w:p>
    <w:p>
      <w:r>
        <w:pict>
          <v:rect style="width:0;height:1.5pt" o:hralign="center" o:hrstd="t" o:hr="t"/>
        </w:pict>
      </w:r>
    </w:p>
    <w:p>
      <w:pPr>
        <w:pStyle w:val="FirstParagraph"/>
      </w:pPr>
      <w:r>
        <w:rPr>
          <w:bCs/>
          <w:b/>
        </w:rPr>
        <w:t xml:space="preserve">Engineering action items for tonight’s review:</w:t>
      </w:r>
    </w:p>
    <w:p>
      <w:pPr>
        <w:numPr>
          <w:ilvl w:val="0"/>
          <w:numId w:val="1012"/>
        </w:numPr>
        <w:pStyle w:val="Compact"/>
      </w:pPr>
      <w:r>
        <w:t xml:space="preserve">Read and validate the architecture in Parts 2 and 3</w:t>
      </w:r>
    </w:p>
    <w:p>
      <w:pPr>
        <w:numPr>
          <w:ilvl w:val="0"/>
          <w:numId w:val="1012"/>
        </w:numPr>
        <w:pStyle w:val="Compact"/>
      </w:pPr>
      <w:r>
        <w:t xml:space="preserve">Confirm the three worked examples in Part 4 match the implementation capacity of our current team</w:t>
      </w:r>
    </w:p>
    <w:p>
      <w:pPr>
        <w:numPr>
          <w:ilvl w:val="0"/>
          <w:numId w:val="1012"/>
        </w:numPr>
        <w:pStyle w:val="Compact"/>
      </w:pPr>
      <w:r>
        <w:t xml:space="preserve">Identify any gaps in the Q2 build plan (Part 6)</w:t>
      </w:r>
    </w:p>
    <w:p>
      <w:pPr>
        <w:numPr>
          <w:ilvl w:val="0"/>
          <w:numId w:val="1012"/>
        </w:numPr>
        <w:pStyle w:val="Compact"/>
      </w:pPr>
      <w:r>
        <w:t xml:space="preserve">Report back to Les by tomorrow morning with:</w:t>
      </w:r>
    </w:p>
    <w:p>
      <w:pPr>
        <w:numPr>
          <w:ilvl w:val="1"/>
          <w:numId w:val="1013"/>
        </w:numPr>
        <w:pStyle w:val="Compact"/>
      </w:pPr>
      <w:r>
        <w:t xml:space="preserve">Architecture validation (yes/no with specifics)</w:t>
      </w:r>
    </w:p>
    <w:p>
      <w:pPr>
        <w:numPr>
          <w:ilvl w:val="1"/>
          <w:numId w:val="1013"/>
        </w:numPr>
        <w:pStyle w:val="Compact"/>
      </w:pPr>
      <w:r>
        <w:t xml:space="preserve">Build timeline confidence (Q2 deliverables achievable?)</w:t>
      </w:r>
    </w:p>
    <w:p>
      <w:pPr>
        <w:numPr>
          <w:ilvl w:val="1"/>
          <w:numId w:val="1013"/>
        </w:numPr>
        <w:pStyle w:val="Compact"/>
      </w:pPr>
      <w:r>
        <w:t xml:space="preserve">Technical risks we’re underestimating</w:t>
      </w:r>
    </w:p>
    <w:p>
      <w:pPr>
        <w:numPr>
          <w:ilvl w:val="1"/>
          <w:numId w:val="1013"/>
        </w:numPr>
        <w:pStyle w:val="Compact"/>
      </w:pPr>
      <w:r>
        <w:t xml:space="preserve">What we need from Greg and rPotential to start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2026-04-18T22:50:32Z</dcterms:created>
  <dcterms:modified xsi:type="dcterms:W3CDTF">2026-04-18T22:50:32Z</dcterms:modified>
</cp:coreProperties>
</file>

<file path=docProps/custom.xml><?xml version="1.0" encoding="utf-8"?>
<Properties xmlns="http://schemas.openxmlformats.org/officeDocument/2006/custom-properties" xmlns:vt="http://schemas.openxmlformats.org/officeDocument/2006/docPropsVTypes"/>
</file>