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fuzebox-aeos"/>
    <w:p>
      <w:pPr>
        <w:pStyle w:val="Heading1"/>
      </w:pPr>
      <w:r>
        <w:t xml:space="preserve">FuzeBox AEOS</w:t>
      </w:r>
    </w:p>
    <w:bookmarkStart w:id="21" w:name="X7a2edb70fc7127922e99d6e16ac06ba6ef0da05"/>
    <w:p>
      <w:pPr>
        <w:pStyle w:val="Heading2"/>
      </w:pPr>
      <w:r>
        <w:t xml:space="preserve">The Universal Execution Function for Enterprise AI</w:t>
      </w:r>
    </w:p>
    <w:bookmarkStart w:id="20" w:name="X96f8d6407051dcb3933417a774b6889ab158a26"/>
    <w:p>
      <w:pPr>
        <w:pStyle w:val="Heading3"/>
      </w:pPr>
      <w:r>
        <w:t xml:space="preserve">A White Paper on the Decision Authority Above the Stacks</w:t>
      </w:r>
    </w:p>
    <w:p>
      <w:pPr>
        <w:pStyle w:val="FirstParagraph"/>
      </w:pPr>
      <w:r>
        <w:rPr>
          <w:bCs/>
          <w:b/>
        </w:rPr>
        <w:t xml:space="preserve">April 2026 · FuzeBox.AI · Confidential</w:t>
      </w:r>
    </w:p>
    <w:p>
      <w:r>
        <w:pict>
          <v:rect style="width:0;height:1.5pt" o:hralign="center" o:hrstd="t" o:hr="t"/>
        </w:pict>
      </w:r>
    </w:p>
    <w:bookmarkEnd w:id="20"/>
    <w:bookmarkEnd w:id="21"/>
    <w:bookmarkStart w:id="22" w:name="the-premise"/>
    <w:p>
      <w:pPr>
        <w:pStyle w:val="Heading2"/>
      </w:pPr>
      <w:r>
        <w:t xml:space="preserve">The Premise</w:t>
      </w:r>
    </w:p>
    <w:p>
      <w:pPr>
        <w:pStyle w:val="FirstParagraph"/>
      </w:pPr>
      <w:r>
        <w:t xml:space="preserve">Every runtime vendor claims to be building the operating system for enterprise AI. Anthropic is building MCP. OpenAI is building agents and AgentKit. Salesforce is building Agentforce and Data Cloud. Google is building Vertex and Agent Builder. Cloudflare is building Workers AI and durable hibernating agents. Uniphore is building the Business AI Cloud with an MCP orchestrator claim of its own.</w:t>
      </w:r>
    </w:p>
    <w:p>
      <w:pPr>
        <w:pStyle w:val="BodyText"/>
      </w:pPr>
      <w:r>
        <w:t xml:space="preserve">All of them are right about the pieces they are building. None of them can be right about being the operating system. The operating system cannot be a runtime vendor, because the problem enterprises face is not the choice of a runtime. The problem is the governance and measurement of every runtime simultaneously, across jurisdictions, across business functions, across a workforce whose strategic capability is the enterprise’s licensing to operate. That problem is structurally impossible for a runtime vendor to solve for their competitors. It requires a neutral decision authority above the stacks.</w:t>
      </w:r>
    </w:p>
    <w:p>
      <w:pPr>
        <w:pStyle w:val="BodyText"/>
      </w:pPr>
      <w:r>
        <w:t xml:space="preserve">FuzeBox is that authority. The Universal Execution Function is what makes it operational.</w:t>
      </w:r>
    </w:p>
    <w:p>
      <w:pPr>
        <w:pStyle w:val="BodyText"/>
      </w:pPr>
      <w:r>
        <w:t xml:space="preserve">This paper describes what FuzeBox is, why it is the only architecture that can answer the single question every board, every regulator, and every workforce in the Global 2000 is now required to answer —</w:t>
      </w:r>
      <w:r>
        <w:t xml:space="preserve"> </w:t>
      </w:r>
      <w:r>
        <w:rPr>
          <w:iCs/>
          <w:i/>
        </w:rPr>
        <w:t xml:space="preserve">is this AI transformation making our enterprise smarter or dumber, and can we prove it</w:t>
      </w:r>
      <w:r>
        <w:t xml:space="preserve"> </w:t>
      </w:r>
      <w:r>
        <w:t xml:space="preserve">— and why the combination of the GSTI algorithm, the Coordination Tax, the Skills Authority, the Execution Economic Ledger, and the per-boundary governance enforcement is the category FuzeBox has created.</w:t>
      </w:r>
    </w:p>
    <w:p>
      <w:r>
        <w:pict>
          <v:rect style="width:0;height:1.5pt" o:hralign="center" o:hrstd="t" o:hr="t"/>
        </w:pict>
      </w:r>
    </w:p>
    <w:bookmarkEnd w:id="22"/>
    <w:bookmarkStart w:id="23" w:name="the-thesis-in-one-paragraph"/>
    <w:p>
      <w:pPr>
        <w:pStyle w:val="Heading2"/>
      </w:pPr>
      <w:r>
        <w:t xml:space="preserve">The Thesis in One Paragraph</w:t>
      </w:r>
    </w:p>
    <w:p>
      <w:pPr>
        <w:pStyle w:val="FirstParagraph"/>
      </w:pPr>
      <w:r>
        <w:t xml:space="preserve">Enterprise AI at scale is a workforce-economics problem, not a technology problem. Runtime vendors can build models, agents, and orchestration primitives. They cannot build the governance, measurement, and learning loop that makes those primitives defensible inside regulated enterprises executing multi-billion-dollar workforce transformations under the supervision of the EU AI Act, national labor law, works councils, and boards under fiduciary duty. FuzeBox does exactly that. The Universal Execution Function receives a task, reads the live state of the workforce from rPotential, computes a defensible GSTI score and Coordination Tax against five orthogonal dimensions per Les Ottolenghi’s published specification, applies jurisdiction-specific policy packs through the per-boundary governance layer, injects real-time instructions and prompt modifications into the selected runtime, dispatches execution across Anthropic, OpenAI, Salesforce, Cloudflare, Google, or Uniphore, captures the outcome into the Execution Economic Ledger, and writes deltas back to the workforce graph so the next decision is informed by what happened on this one. Every execution teaches the next. Every runtime is governed by the same authority. Every decision is signed, auditable, and defensible. No runtime vendor can build this. No workforce intelligence provider can build this alone. FuzeBox plus rPotential is the combination.</w:t>
      </w:r>
    </w:p>
    <w:p>
      <w:r>
        <w:pict>
          <v:rect style="width:0;height:1.5pt" o:hralign="center" o:hrstd="t" o:hr="t"/>
        </w:pict>
      </w:r>
    </w:p>
    <w:bookmarkEnd w:id="23"/>
    <w:bookmarkStart w:id="27" w:name="part-i-why-the-category-exists"/>
    <w:p>
      <w:pPr>
        <w:pStyle w:val="Heading2"/>
      </w:pPr>
      <w:r>
        <w:t xml:space="preserve">Part I — Why the Category Exists</w:t>
      </w:r>
    </w:p>
    <w:bookmarkStart w:id="24" w:name="Xdab4257dca5a5d882a6d71ac170f5946c90f700"/>
    <w:p>
      <w:pPr>
        <w:pStyle w:val="Heading3"/>
      </w:pPr>
      <w:r>
        <w:t xml:space="preserve">The Regulated Enterprise Is Multi-Vendor by Necessity</w:t>
      </w:r>
    </w:p>
    <w:p>
      <w:pPr>
        <w:pStyle w:val="FirstParagraph"/>
      </w:pPr>
      <w:r>
        <w:t xml:space="preserve">Every Fortune 500 AI deployment runs on multiple runtime vendors simultaneously, and this condition is permanent. Enterprises do not standardize on a single runtime because their risk posture forbids it, their regulatory footprint varies by jurisdiction, their data-residency obligations require regional routing, and their workforce economics differ by business unit. A global bank runs Anthropic in EU compliance operations under Article 14 of the AI Act, OpenAI in US customer operations under SOC 2 and state-level constraints, Salesforce Agentforce where the source-of-truth customer record lives, Cloudflare Workers AI at the edge for high-volume classification, Google Vertex for multi-modal document analysis and Workspace-integrated workflows, and Uniphore for voice-first contact center orchestration. A global insurer runs a different mix for different reasons. A global pharma runs yet another for safety-critical reasons. The mix is not transitional. It is structural.</w:t>
      </w:r>
    </w:p>
    <w:p>
      <w:pPr>
        <w:pStyle w:val="BodyText"/>
      </w:pPr>
      <w:r>
        <w:t xml:space="preserve">The operational problem this creates is not solved by any runtime vendor. Anthropic cannot govern OpenAI’s executions. OpenAI cannot govern Anthropic’s. Salesforce cannot be neutral between the two. Uniphore’s MCP orchestrator claim does not extend beyond its own runtime, and any attempt to extend it requires Uniphore to become the adversary of every vendor it claims to orchestrate. Google Vertex and Cloudflare both operate with commercial incentives that preclude neutrality. None of these vendors has workforce data. None of them has visibility into the execution outcomes of their competitors. None of them has the commercial position to enforce labor-preservation constraints against their own API consumption. They are all structurally disqualified from being the operating system.</w:t>
      </w:r>
    </w:p>
    <w:p>
      <w:pPr>
        <w:pStyle w:val="BodyText"/>
      </w:pPr>
      <w:r>
        <w:t xml:space="preserve">The enterprise therefore requires a neutral control plane. Not as a feature, but as a category. The control plane must see every runtime equally, enforce governance across all of them uniformly, measure outcomes in a canonical schema, close the loop back to the workforce graph, and produce the board-level and regulator-level attestations that the transformation is defensible. That control plane is what FuzeBox is.</w:t>
      </w:r>
    </w:p>
    <w:bookmarkEnd w:id="24"/>
    <w:bookmarkStart w:id="25" w:name="X10f5ead045e50ef63be1a0c12d0ff7d86e4f176"/>
    <w:p>
      <w:pPr>
        <w:pStyle w:val="Heading3"/>
      </w:pPr>
      <w:r>
        <w:t xml:space="preserve">The Four Questions No Runtime Vendor Can Answer</w:t>
      </w:r>
    </w:p>
    <w:p>
      <w:pPr>
        <w:pStyle w:val="FirstParagraph"/>
      </w:pPr>
      <w:r>
        <w:t xml:space="preserve">Every CHRO, Chief AI Officer, and Chief Transformation Officer in the Global 2000 is now required to answer four questions quarterly, per jurisdiction, under the supervision of their board, their regulator, and their works council:</w:t>
      </w:r>
    </w:p>
    <w:p>
      <w:pPr>
        <w:pStyle w:val="BodyText"/>
      </w:pPr>
      <w:r>
        <w:t xml:space="preserve">What work has been transformed from pure-human to AI-augmented or AI-executed, and what fraction of that transformation happened through paths that preserved human strategic capability rather than eroded it.</w:t>
      </w:r>
    </w:p>
    <w:p>
      <w:pPr>
        <w:pStyle w:val="BodyText"/>
      </w:pPr>
      <w:r>
        <w:t xml:space="preserve">Which strategic capabilities are drifting out of the workforce as the transformation proceeds, and what automatic corrective routing has the system applied to prevent that drift before it becomes irreversible.</w:t>
      </w:r>
    </w:p>
    <w:p>
      <w:pPr>
        <w:pStyle w:val="BodyText"/>
      </w:pPr>
      <w:r>
        <w:t xml:space="preserve">What is the economic return on the transformation spend, decomposed by function, by skill, by country, by runtime vendor, with a cost-per-outcome-value curve that survives board scrutiny.</w:t>
      </w:r>
    </w:p>
    <w:p>
      <w:pPr>
        <w:pStyle w:val="BodyText"/>
      </w:pPr>
      <w:r>
        <w:t xml:space="preserve">Can every decision made by the system be explained to a regulator, a works council, or an affected employee, with a cryptographically signed audit trail that traces the decision back to the signals, policies, and governance rules that produced it.</w:t>
      </w:r>
    </w:p>
    <w:p>
      <w:pPr>
        <w:pStyle w:val="BodyText"/>
      </w:pPr>
      <w:r>
        <w:t xml:space="preserve">No runtime vendor can answer these questions. They lack the workforce data to answer the first two, they lack the cross-vendor outcome visibility to answer the third, and they lack the neutrality to answer the fourth credibly. Only a system engineered from the ground up to operate above the runtimes, with workforce signals as first-class inputs and governance as a first-class product, can answer them. FuzeBox is that system.</w:t>
      </w:r>
    </w:p>
    <w:bookmarkEnd w:id="25"/>
    <w:bookmarkStart w:id="26" w:name="why-runtime-vendors-need-fuzebox"/>
    <w:p>
      <w:pPr>
        <w:pStyle w:val="Heading3"/>
      </w:pPr>
      <w:r>
        <w:t xml:space="preserve">Why Runtime Vendors Need FuzeBox</w:t>
      </w:r>
    </w:p>
    <w:p>
      <w:pPr>
        <w:pStyle w:val="FirstParagraph"/>
      </w:pPr>
      <w:r>
        <w:t xml:space="preserve">The counterintuitive point is that every runtime vendor needs FuzeBox more than FuzeBox needs any one of them. Enterprise sales at Anthropic stall at the governance conversation. Enterprise sales at OpenAI stall at the same place. Salesforce Agentforce deals slow down when CIOs ask how it composes with non-Salesforce runtimes. Google Vertex enterprise deals hit the same wall. Cloudflare’s enterprise agent story is strong on infrastructure and weak on governance. Uniphore’s control plane ambition collides with its vertical CX specialization.</w:t>
      </w:r>
    </w:p>
    <w:p>
      <w:pPr>
        <w:pStyle w:val="BodyText"/>
      </w:pPr>
      <w:r>
        <w:t xml:space="preserve">In every case, the enterprise buyer is asking the vendor to solve a problem the vendor cannot solve: how to make the vendor’s runtime deployable alongside its competitors, under a neutral governance layer, with workforce-aware routing, in a way that survives regulatory review. FuzeBox is the answer the vendor can give. Every FuzeBox deployment drives API consumption for every vendor whose runtime is part of the stack. The vendor wins commercially. The enterprise wins governance. The workforce is preserved as a strategic asset. The regulator is satisfied. FuzeBox is the commercial and architectural precondition for Fortune 500 enterprise AI adoption at scale.</w:t>
      </w:r>
    </w:p>
    <w:p>
      <w:pPr>
        <w:pStyle w:val="BodyText"/>
      </w:pPr>
      <w:r>
        <w:t xml:space="preserve">This is the reason Anthropic partnership conversations go well, the reason OpenAI partnership conversations go well, the reason Salesforce and Google partnership motions are available, the reason Cloudflare is a complementary infrastructure partner rather than a competitor, and the reason Uniphore ends up integrated as one runtime among many rather than displaced. FuzeBox is the neutral party every vendor prefers to the alternatives, because the alternatives are worse for all of them.</w:t>
      </w:r>
    </w:p>
    <w:p>
      <w:r>
        <w:pict>
          <v:rect style="width:0;height:1.5pt" o:hralign="center" o:hrstd="t" o:hr="t"/>
        </w:pict>
      </w:r>
    </w:p>
    <w:bookmarkEnd w:id="26"/>
    <w:bookmarkEnd w:id="27"/>
    <w:bookmarkStart w:id="32" w:name="part-ii-the-architecture"/>
    <w:p>
      <w:pPr>
        <w:pStyle w:val="Heading2"/>
      </w:pPr>
      <w:r>
        <w:t xml:space="preserve">Part II — The Architecture</w:t>
      </w:r>
    </w:p>
    <w:bookmarkStart w:id="28" w:name="the-four-zones-and-twelve-layers"/>
    <w:p>
      <w:pPr>
        <w:pStyle w:val="Heading3"/>
      </w:pPr>
      <w:r>
        <w:t xml:space="preserve">The Four Zones and Twelve Layers</w:t>
      </w:r>
    </w:p>
    <w:p>
      <w:pPr>
        <w:pStyle w:val="FirstParagraph"/>
      </w:pPr>
      <w:r>
        <w:t xml:space="preserve">FuzeBox AEOS is organized as twelve operational layers grouped into four zones. Each zone answers a specific architectural question.</w:t>
      </w:r>
    </w:p>
    <w:p>
      <w:pPr>
        <w:pStyle w:val="BodyText"/>
      </w:pPr>
      <w:r>
        <w:t xml:space="preserve">The Assessment Zone spans layers one through four. Intent capture converts a raw enterprise task into a canonical Task object with tenant, jurisdiction, risk classification, strategic significance, and workforce impact scope. Policy and regulatory evaluation runs the task against every applicable policy pack for the jurisdiction and produces a structured GovernanceRequirement. Skills Authority resolves which skill is required, loads the per-agent contracts that constrain execution, and returns the allowed execution paths — human, agent on each of the six runtime vendors, or any hybrid combination. This zone answers what the enterprise is trying to do and what it is allowed to do.</w:t>
      </w:r>
    </w:p>
    <w:p>
      <w:pPr>
        <w:pStyle w:val="BodyText"/>
      </w:pPr>
      <w:r>
        <w:t xml:space="preserve">The Intelligence Zone spans layers five and six. The enterprise knowledge graph holds organizational context, prior decisions, the strategic capability map, and the workforce composition. The Live Signal Bus is the bidirectional bridge to rPotential: it streams workforce signals into FuzeBox in real time and forwards execution outcome deltas back to rPotential’s UoP library as they occur. This zone answers what the control plane knows about the world right now.</w:t>
      </w:r>
    </w:p>
    <w:p>
      <w:pPr>
        <w:pStyle w:val="BodyText"/>
      </w:pPr>
      <w:r>
        <w:t xml:space="preserve">The Execution Zone spans layers seven through nine. The Universal Execution Function is the pre-execution decision authority — the callable control function that receives a task, scores all candidate execution paths against the GSTI algorithm, Coordination Tax, governance requirements, workforce readiness, runtime fit, economic value, and risk penalty, and returns the selected execution plan with full structured justification. The Adapter Gateway translates the approved plan into vendor-native calls, validates against per-boundary governance rules, and dispatches to the selected runtime. The Dynamic Instruction Runtime injects real-time prompt modifications, policy constraints, and instruction updates into in-flight executions as signals change — the feature that makes FuzeBox a control system rather than a routing layer. This zone answers how the work actually gets done, by whom, on what stack, under what constraints.</w:t>
      </w:r>
    </w:p>
    <w:p>
      <w:pPr>
        <w:pStyle w:val="BodyText"/>
      </w:pPr>
      <w:r>
        <w:t xml:space="preserve">The Governance Zone spans layers ten through twelve. The Telemetry Normalizer converts vendor-native traces into a canonical event schema. The Execution Economic Ledger records every outcome, computes the three deltas that close the loop back to rPotential, and exposes the derived metrics that drive the board-level Enterprise Autonomy Index. The Audit and Attestation service produces cryptographically signed evidence bundles for every decision, formatted per jurisdiction and policy pack. This zone answers how we know what happened and how we prove it.</w:t>
      </w:r>
    </w:p>
    <w:bookmarkEnd w:id="28"/>
    <w:bookmarkStart w:id="29" w:name="service-topology"/>
    <w:p>
      <w:pPr>
        <w:pStyle w:val="Heading3"/>
      </w:pPr>
      <w:r>
        <w:t xml:space="preserve">Service Topology</w:t>
      </w:r>
    </w:p>
    <w:p>
      <w:pPr>
        <w:pStyle w:val="FirstParagraph"/>
      </w:pPr>
      <w:r>
        <w:t xml:space="preserve">The twelve layers are implemented across eight microservices. Each service owns a coherent slice of the architecture, has clear boundaries with its peers, and scales independently. All services communicate over gRPC using a canonical Protobuf schema. Asynchronous events flow through Kafka. The six vendor runtime connections are pluggable adapters behind the Adapter Gateway, each implementing a common Go interface, each runnable against production endpoints with real credentials and paired with deterministic mocks for CI.</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Service</w:t>
            </w:r>
          </w:p>
        </w:tc>
        <w:tc>
          <w:tcPr/>
          <w:p>
            <w:pPr>
              <w:pStyle w:val="Compact"/>
              <w:jc w:val="left"/>
            </w:pPr>
            <w:r>
              <w:t xml:space="preserve">Layers</w:t>
            </w:r>
          </w:p>
        </w:tc>
        <w:tc>
          <w:tcPr/>
          <w:p>
            <w:pPr>
              <w:pStyle w:val="Compact"/>
              <w:jc w:val="left"/>
            </w:pPr>
            <w:r>
              <w:t xml:space="preserve">Language</w:t>
            </w:r>
          </w:p>
        </w:tc>
        <w:tc>
          <w:tcPr/>
          <w:p>
            <w:pPr>
              <w:pStyle w:val="Compact"/>
              <w:jc w:val="left"/>
            </w:pPr>
            <w:r>
              <w:t xml:space="preserve">Storage</w:t>
            </w:r>
          </w:p>
        </w:tc>
        <w:tc>
          <w:tcPr/>
          <w:p>
            <w:pPr>
              <w:pStyle w:val="Compact"/>
              <w:jc w:val="left"/>
            </w:pPr>
            <w:r>
              <w:t xml:space="preserve">Responsibility</w:t>
            </w:r>
          </w:p>
        </w:tc>
      </w:tr>
      <w:tr>
        <w:tc>
          <w:tcPr/>
          <w:p>
            <w:pPr>
              <w:pStyle w:val="Compact"/>
              <w:jc w:val="left"/>
            </w:pPr>
            <w:r>
              <w:t xml:space="preserve">Intent Classifier</w:t>
            </w:r>
          </w:p>
        </w:tc>
        <w:tc>
          <w:tcPr/>
          <w:p>
            <w:pPr>
              <w:pStyle w:val="Compact"/>
              <w:jc w:val="left"/>
            </w:pPr>
            <w:r>
              <w:t xml:space="preserve">L1</w:t>
            </w:r>
          </w:p>
        </w:tc>
        <w:tc>
          <w:tcPr/>
          <w:p>
            <w:pPr>
              <w:pStyle w:val="Compact"/>
              <w:jc w:val="left"/>
            </w:pPr>
            <w:r>
              <w:t xml:space="preserve">Python 3.12 / FastAPI</w:t>
            </w:r>
          </w:p>
        </w:tc>
        <w:tc>
          <w:tcPr/>
          <w:p>
            <w:pPr>
              <w:pStyle w:val="Compact"/>
              <w:jc w:val="left"/>
            </w:pPr>
            <w:r>
              <w:t xml:space="preserve">Stateless</w:t>
            </w:r>
          </w:p>
        </w:tc>
        <w:tc>
          <w:tcPr/>
          <w:p>
            <w:pPr>
              <w:pStyle w:val="Compact"/>
              <w:jc w:val="left"/>
            </w:pPr>
            <w:r>
              <w:t xml:space="preserve">Task intake, type classification, risk scoring</w:t>
            </w:r>
          </w:p>
        </w:tc>
      </w:tr>
      <w:tr>
        <w:tc>
          <w:tcPr/>
          <w:p>
            <w:pPr>
              <w:pStyle w:val="Compact"/>
              <w:jc w:val="left"/>
            </w:pPr>
            <w:r>
              <w:t xml:space="preserve">Governance Service</w:t>
            </w:r>
          </w:p>
        </w:tc>
        <w:tc>
          <w:tcPr/>
          <w:p>
            <w:pPr>
              <w:pStyle w:val="Compact"/>
              <w:jc w:val="left"/>
            </w:pPr>
            <w:r>
              <w:t xml:space="preserve">L2, L12</w:t>
            </w:r>
          </w:p>
        </w:tc>
        <w:tc>
          <w:tcPr/>
          <w:p>
            <w:pPr>
              <w:pStyle w:val="Compact"/>
              <w:jc w:val="left"/>
            </w:pPr>
            <w:r>
              <w:t xml:space="preserve">Python 3.12 / FastAPI</w:t>
            </w:r>
          </w:p>
        </w:tc>
        <w:tc>
          <w:tcPr/>
          <w:p>
            <w:pPr>
              <w:pStyle w:val="Compact"/>
              <w:jc w:val="left"/>
            </w:pPr>
            <w:r>
              <w:t xml:space="preserve">PostgreSQL</w:t>
            </w:r>
          </w:p>
        </w:tc>
        <w:tc>
          <w:tcPr/>
          <w:p>
            <w:pPr>
              <w:pStyle w:val="Compact"/>
              <w:jc w:val="left"/>
            </w:pPr>
            <w:r>
              <w:t xml:space="preserve">Policy pack evaluation, signed attestation</w:t>
            </w:r>
          </w:p>
        </w:tc>
      </w:tr>
      <w:tr>
        <w:tc>
          <w:tcPr/>
          <w:p>
            <w:pPr>
              <w:pStyle w:val="Compact"/>
              <w:jc w:val="left"/>
            </w:pPr>
            <w:r>
              <w:t xml:space="preserve">Skills Authority</w:t>
            </w:r>
          </w:p>
        </w:tc>
        <w:tc>
          <w:tcPr/>
          <w:p>
            <w:pPr>
              <w:pStyle w:val="Compact"/>
              <w:jc w:val="left"/>
            </w:pPr>
            <w:r>
              <w:t xml:space="preserve">L3, L4, L5</w:t>
            </w:r>
          </w:p>
        </w:tc>
        <w:tc>
          <w:tcPr/>
          <w:p>
            <w:pPr>
              <w:pStyle w:val="Compact"/>
              <w:jc w:val="left"/>
            </w:pPr>
            <w:r>
              <w:t xml:space="preserve">Python 3.12 / FastAPI</w:t>
            </w:r>
          </w:p>
        </w:tc>
        <w:tc>
          <w:tcPr/>
          <w:p>
            <w:pPr>
              <w:pStyle w:val="Compact"/>
              <w:jc w:val="left"/>
            </w:pPr>
            <w:r>
              <w:t xml:space="preserve">PostgreSQL</w:t>
            </w:r>
          </w:p>
        </w:tc>
        <w:tc>
          <w:tcPr/>
          <w:p>
            <w:pPr>
              <w:pStyle w:val="Compact"/>
              <w:jc w:val="left"/>
            </w:pPr>
            <w:r>
              <w:t xml:space="preserve">Skills registry, agent contracts, knowledge graph</w:t>
            </w:r>
          </w:p>
        </w:tc>
      </w:tr>
      <w:tr>
        <w:tc>
          <w:tcPr/>
          <w:p>
            <w:pPr>
              <w:pStyle w:val="Compact"/>
              <w:jc w:val="left"/>
            </w:pPr>
            <w:r>
              <w:t xml:space="preserve">Signal Bus</w:t>
            </w:r>
          </w:p>
        </w:tc>
        <w:tc>
          <w:tcPr/>
          <w:p>
            <w:pPr>
              <w:pStyle w:val="Compact"/>
              <w:jc w:val="left"/>
            </w:pPr>
            <w:r>
              <w:t xml:space="preserve">L6</w:t>
            </w:r>
          </w:p>
        </w:tc>
        <w:tc>
          <w:tcPr/>
          <w:p>
            <w:pPr>
              <w:pStyle w:val="Compact"/>
              <w:jc w:val="left"/>
            </w:pPr>
            <w:r>
              <w:t xml:space="preserve">TypeScript / Fastify</w:t>
            </w:r>
          </w:p>
        </w:tc>
        <w:tc>
          <w:tcPr/>
          <w:p>
            <w:pPr>
              <w:pStyle w:val="Compact"/>
              <w:jc w:val="left"/>
            </w:pPr>
            <w:r>
              <w:t xml:space="preserve">Redis</w:t>
            </w:r>
          </w:p>
        </w:tc>
        <w:tc>
          <w:tcPr/>
          <w:p>
            <w:pPr>
              <w:pStyle w:val="Compact"/>
              <w:jc w:val="left"/>
            </w:pPr>
            <w:r>
              <w:t xml:space="preserve">Live workforce signals, rPotential bridge</w:t>
            </w:r>
          </w:p>
        </w:tc>
      </w:tr>
      <w:tr>
        <w:tc>
          <w:tcPr/>
          <w:p>
            <w:pPr>
              <w:pStyle w:val="Compact"/>
              <w:jc w:val="left"/>
            </w:pPr>
            <w:r>
              <w:t xml:space="preserve">UEF Service</w:t>
            </w:r>
          </w:p>
        </w:tc>
        <w:tc>
          <w:tcPr/>
          <w:p>
            <w:pPr>
              <w:pStyle w:val="Compact"/>
              <w:jc w:val="left"/>
            </w:pPr>
            <w:r>
              <w:t xml:space="preserve">L7</w:t>
            </w:r>
          </w:p>
        </w:tc>
        <w:tc>
          <w:tcPr/>
          <w:p>
            <w:pPr>
              <w:pStyle w:val="Compact"/>
              <w:jc w:val="left"/>
            </w:pPr>
            <w:r>
              <w:t xml:space="preserve">Go 1.23</w:t>
            </w:r>
          </w:p>
        </w:tc>
        <w:tc>
          <w:tcPr/>
          <w:p>
            <w:pPr>
              <w:pStyle w:val="Compact"/>
              <w:jc w:val="left"/>
            </w:pPr>
            <w:r>
              <w:t xml:space="preserve">Stateless</w:t>
            </w:r>
          </w:p>
        </w:tc>
        <w:tc>
          <w:tcPr/>
          <w:p>
            <w:pPr>
              <w:pStyle w:val="Compact"/>
              <w:jc w:val="left"/>
            </w:pPr>
            <w:r>
              <w:t xml:space="preserve">Decision engine, GSTI scoring, path selection</w:t>
            </w:r>
          </w:p>
        </w:tc>
      </w:tr>
      <w:tr>
        <w:tc>
          <w:tcPr/>
          <w:p>
            <w:pPr>
              <w:pStyle w:val="Compact"/>
              <w:jc w:val="left"/>
            </w:pPr>
            <w:r>
              <w:t xml:space="preserve">Adapter Gateway</w:t>
            </w:r>
          </w:p>
        </w:tc>
        <w:tc>
          <w:tcPr/>
          <w:p>
            <w:pPr>
              <w:pStyle w:val="Compact"/>
              <w:jc w:val="left"/>
            </w:pPr>
            <w:r>
              <w:t xml:space="preserve">L8</w:t>
            </w:r>
          </w:p>
        </w:tc>
        <w:tc>
          <w:tcPr/>
          <w:p>
            <w:pPr>
              <w:pStyle w:val="Compact"/>
              <w:jc w:val="left"/>
            </w:pPr>
            <w:r>
              <w:t xml:space="preserve">Go 1.23</w:t>
            </w:r>
          </w:p>
        </w:tc>
        <w:tc>
          <w:tcPr/>
          <w:p>
            <w:pPr>
              <w:pStyle w:val="Compact"/>
              <w:jc w:val="left"/>
            </w:pPr>
            <w:r>
              <w:t xml:space="preserve">PostgreSQL</w:t>
            </w:r>
          </w:p>
        </w:tc>
        <w:tc>
          <w:tcPr/>
          <w:p>
            <w:pPr>
              <w:pStyle w:val="Compact"/>
              <w:jc w:val="left"/>
            </w:pPr>
            <w:r>
              <w:t xml:space="preserve">Per-boundary dispatch to six runtime vendors</w:t>
            </w:r>
          </w:p>
        </w:tc>
      </w:tr>
      <w:tr>
        <w:tc>
          <w:tcPr/>
          <w:p>
            <w:pPr>
              <w:pStyle w:val="Compact"/>
              <w:jc w:val="left"/>
            </w:pPr>
            <w:r>
              <w:t xml:space="preserve">Instruction Runtime</w:t>
            </w:r>
          </w:p>
        </w:tc>
        <w:tc>
          <w:tcPr/>
          <w:p>
            <w:pPr>
              <w:pStyle w:val="Compact"/>
              <w:jc w:val="left"/>
            </w:pPr>
            <w:r>
              <w:t xml:space="preserve">L9</w:t>
            </w:r>
          </w:p>
        </w:tc>
        <w:tc>
          <w:tcPr/>
          <w:p>
            <w:pPr>
              <w:pStyle w:val="Compact"/>
              <w:jc w:val="left"/>
            </w:pPr>
            <w:r>
              <w:t xml:space="preserve">Go 1.23</w:t>
            </w:r>
          </w:p>
        </w:tc>
        <w:tc>
          <w:tcPr/>
          <w:p>
            <w:pPr>
              <w:pStyle w:val="Compact"/>
              <w:jc w:val="left"/>
            </w:pPr>
            <w:r>
              <w:t xml:space="preserve">Redis</w:t>
            </w:r>
          </w:p>
        </w:tc>
        <w:tc>
          <w:tcPr/>
          <w:p>
            <w:pPr>
              <w:pStyle w:val="Compact"/>
              <w:jc w:val="left"/>
            </w:pPr>
            <w:r>
              <w:t xml:space="preserve">Real-time instruction and prompt injection</w:t>
            </w:r>
          </w:p>
        </w:tc>
      </w:tr>
      <w:tr>
        <w:tc>
          <w:tcPr/>
          <w:p>
            <w:pPr>
              <w:pStyle w:val="Compact"/>
              <w:jc w:val="left"/>
            </w:pPr>
            <w:r>
              <w:t xml:space="preserve">Ledger Service</w:t>
            </w:r>
          </w:p>
        </w:tc>
        <w:tc>
          <w:tcPr/>
          <w:p>
            <w:pPr>
              <w:pStyle w:val="Compact"/>
              <w:jc w:val="left"/>
            </w:pPr>
            <w:r>
              <w:t xml:space="preserve">L10, L11</w:t>
            </w:r>
          </w:p>
        </w:tc>
        <w:tc>
          <w:tcPr/>
          <w:p>
            <w:pPr>
              <w:pStyle w:val="Compact"/>
              <w:jc w:val="left"/>
            </w:pPr>
            <w:r>
              <w:t xml:space="preserve">Go / ClickHouse</w:t>
            </w:r>
          </w:p>
        </w:tc>
        <w:tc>
          <w:tcPr/>
          <w:p>
            <w:pPr>
              <w:pStyle w:val="Compact"/>
              <w:jc w:val="left"/>
            </w:pPr>
            <w:r>
              <w:t xml:space="preserve">ClickHouse + PostgreSQL</w:t>
            </w:r>
          </w:p>
        </w:tc>
        <w:tc>
          <w:tcPr/>
          <w:p>
            <w:pPr>
              <w:pStyle w:val="Compact"/>
              <w:jc w:val="left"/>
            </w:pPr>
            <w:r>
              <w:t xml:space="preserve">Telemetry normalization, Economic Ledger</w:t>
            </w:r>
          </w:p>
        </w:tc>
      </w:tr>
    </w:tbl>
    <w:bookmarkEnd w:id="29"/>
    <w:bookmarkStart w:id="30" w:name="the-six-runtime-integrations"/>
    <w:p>
      <w:pPr>
        <w:pStyle w:val="Heading3"/>
      </w:pPr>
      <w:r>
        <w:t xml:space="preserve">The Six Runtime Integrations</w:t>
      </w:r>
    </w:p>
    <w:p>
      <w:pPr>
        <w:pStyle w:val="FirstParagraph"/>
      </w:pPr>
      <w:r>
        <w:t xml:space="preserve">Every major enterprise AI runtime connects through the Adapter Gateway as a first-class peer. The six are not ranked, preferred, or privileged. They are candidate execution paths that the UEF scores against the live state of the workforce, the governance requirements of the jurisdiction, the economic value of the task, and the historical performance of each path on the specific skill required.</w:t>
      </w:r>
    </w:p>
    <w:p>
      <w:pPr>
        <w:pStyle w:val="BodyText"/>
      </w:pPr>
      <w:r>
        <w:t xml:space="preserve">Anthropic connects through Claude’s Messages API and through MCP for tool-integrated execution, with Claude Code SDK support for multi-step reasoning workflows. The adapter handles streaming responses, structured outputs, rate limiting with exponential backoff, and cost estimation using published pricing per model.</w:t>
      </w:r>
    </w:p>
    <w:p>
      <w:pPr>
        <w:pStyle w:val="BodyText"/>
      </w:pPr>
      <w:r>
        <w:t xml:space="preserve">OpenAI connects through the Responses API and AgentKit, with Assistants API support for stateful multi-turn execution. The adapter handles streaming, function calling, structured outputs, and token-per-minute quota management.</w:t>
      </w:r>
    </w:p>
    <w:p>
      <w:pPr>
        <w:pStyle w:val="BodyText"/>
      </w:pPr>
      <w:r>
        <w:t xml:space="preserve">Salesforce Agentforce connects through the Agent API with Data Cloud integration, used where the source-of-truth enterprise data already lives in Salesforce — customer records, workforce records for Workday-integrated tenants, opportunity data, service data.</w:t>
      </w:r>
    </w:p>
    <w:p>
      <w:pPr>
        <w:pStyle w:val="BodyText"/>
      </w:pPr>
      <w:r>
        <w:t xml:space="preserve">Cloudflare connects in two modes: Workers AI for low-latency edge inference against high-volume classification and routing tasks where the edge advantage compounds across millions of calls, and Project Think (or its successor durable-agent offering) for long-running hibernating workflows that span hours or days.</w:t>
      </w:r>
    </w:p>
    <w:p>
      <w:pPr>
        <w:pStyle w:val="BodyText"/>
      </w:pPr>
      <w:r>
        <w:t xml:space="preserve">Google Vertex AI connects through the Gemini API, Agent Builder, and Agent Garden, used for multi-modal tasks (document plus image plus video), Workspace-integrated workflows, and tasks where Google’s data gravity — Search grounding, Maps, Workspace — adds material value.</w:t>
      </w:r>
    </w:p>
    <w:p>
      <w:pPr>
        <w:pStyle w:val="BodyText"/>
      </w:pPr>
      <w:r>
        <w:t xml:space="preserve">Uniphore connects through the Business AI Cloud MCP-compatible endpoint and Agent Builder, treated as one candidate runtime among many. Particularly valuable for voice-first contact center workflows and CX domain specialization. Notably, Uniphore’s own claim to be a centralized MCP orchestrator is architecturally subordinate to FuzeBox’s role as the neutral decision authority above all six runtimes; within a FuzeBox deployment, Uniphore is a governed boundary, not the governance layer.</w:t>
      </w:r>
    </w:p>
    <w:p>
      <w:pPr>
        <w:pStyle w:val="BodyText"/>
      </w:pPr>
      <w:r>
        <w:t xml:space="preserve">The seventh adapter is the Human Adapter, which connects to enterprise workforce management systems — Workday, SAP SuccessFactors, ServiceNow, bespoke HRIS platforms — and routes tasks to the appropriate human actor based on skills authorization, availability, jurisdiction, and organizational reporting lines. It supports blind reviews, parallel human evaluations, and multi-level approval chains. Every hybrid execution path includes the Human Adapter alongside one or more vendor runtimes.</w:t>
      </w:r>
    </w:p>
    <w:bookmarkEnd w:id="30"/>
    <w:bookmarkStart w:id="31" w:name="X68157624680556e0d2c2d68a45b33a7b591e40e"/>
    <w:p>
      <w:pPr>
        <w:pStyle w:val="Heading3"/>
      </w:pPr>
      <w:r>
        <w:t xml:space="preserve">The rPotential Integration as Architectural Peer</w:t>
      </w:r>
    </w:p>
    <w:p>
      <w:pPr>
        <w:pStyle w:val="FirstParagraph"/>
      </w:pPr>
      <w:r>
        <w:t xml:space="preserve">rPotential is not a data source. rPotential is an architectural peer. The Signal Bus (Layer 6) is FuzeBox’s bridge into rPotential’s Units of Potential library, reading live workforce state at the start of every decision. The Ledger Service (Layer 11) writes execution outcome deltas back to rPotential’s workforce graph as every execution completes. The writeback contract is jointly owned IP filed under the second of FuzeBox’s five patent families, with rPotential named as co-inventor. The contract specifies a Protobuf-defined delta schema, authentication via mutual TLS with tenant-scoped keys, idempotency keys on every delta to handle network-level retries, per-tenant-per-skill Kafka partition ordering guarantees, a sub-500-ms acknowledgment latency target at the 95th percentile, and dead-letter-queue handling surfaced on the enterprise tenant’s dashboard.</w:t>
      </w:r>
    </w:p>
    <w:p>
      <w:pPr>
        <w:pStyle w:val="BodyText"/>
      </w:pPr>
      <w:r>
        <w:t xml:space="preserve">The integration is continuous, bidirectional, and real-time. A single enterprise customer running FuzeBox and rPotential together experiences the combination as a unified workforce-aware AI operating system. rPotential’s transformation intelligence powers FuzeBox’s routing decisions. FuzeBox’s execution telemetry enriches rPotential’s workforce graph. Neither party can deliver the enterprise outcome alone. Together they become the operating system that enterprises adopt when they commit to transformations at the scale of tens of thousands of employees across dozens of jurisdictions.</w:t>
      </w:r>
    </w:p>
    <w:p>
      <w:r>
        <w:pict>
          <v:rect style="width:0;height:1.5pt" o:hralign="center" o:hrstd="t" o:hr="t"/>
        </w:pict>
      </w:r>
    </w:p>
    <w:bookmarkEnd w:id="31"/>
    <w:bookmarkEnd w:id="32"/>
    <w:bookmarkStart w:id="36" w:name="part-iii-the-governing-algorithms"/>
    <w:p>
      <w:pPr>
        <w:pStyle w:val="Heading2"/>
      </w:pPr>
      <w:r>
        <w:t xml:space="preserve">Part III — The Governing Algorithms</w:t>
      </w:r>
    </w:p>
    <w:bookmarkStart w:id="33" w:name="X26e9df27987673276b4613b1fab67a4d9921650"/>
    <w:p>
      <w:pPr>
        <w:pStyle w:val="Heading3"/>
      </w:pPr>
      <w:r>
        <w:t xml:space="preserve">GSTI — The GenAI Suitability Transformation Index</w:t>
      </w:r>
    </w:p>
    <w:p>
      <w:pPr>
        <w:pStyle w:val="FirstParagraph"/>
      </w:pPr>
      <w:r>
        <w:t xml:space="preserve">GSTI is the algorithm that determines how AI participates in any given task. It is not a subjective readiness assessment. It is a quantifiable, repeatable, auditable score that produces a defensible routing decision at the task level and withstands board scrutiny and regulatory review. The specification is published in full in the</w:t>
      </w:r>
      <w:r>
        <w:t xml:space="preserve"> </w:t>
      </w:r>
      <w:r>
        <w:rPr>
          <w:iCs/>
          <w:i/>
        </w:rPr>
        <w:t xml:space="preserve">GSTI Deep Specification</w:t>
      </w:r>
      <w:r>
        <w:t xml:space="preserve"> </w:t>
      </w:r>
      <w:r>
        <w:t xml:space="preserve">(the canonical reference); the summary that follows is sufficient for architectural and commercial framing.</w:t>
      </w:r>
    </w:p>
    <w:p>
      <w:pPr>
        <w:pStyle w:val="BodyText"/>
      </w:pPr>
      <w:r>
        <w:t xml:space="preserve">GSTI decomposes AI suitability into five orthogonal dimensions. Each dimension is measured on a continuous zero-to-one scale with defined anchor points. The dimensions are judgment required, variability, frequency, data availability, and risk level. The scoring model is:</w:t>
      </w:r>
    </w:p>
    <w:p>
      <w:pPr>
        <w:pStyle w:val="BodyText"/>
      </w:pPr>
      <w:r>
        <w:rPr>
          <w:bCs/>
          <w:b/>
        </w:rPr>
        <w:t xml:space="preserve">GSTI(task) = w₁·(1 − J) + w₂·(1 − V) + w₃·F + w₄·D − w₅·R</w:t>
      </w:r>
    </w:p>
    <w:p>
      <w:pPr>
        <w:pStyle w:val="BodyText"/>
      </w:pPr>
      <w:r>
        <w:t xml:space="preserve">where w₁ through w₅ are domain-specific weights that sum to one. The default weighting for general enterprise contexts is 0.30 for judgment, 0.20 for variability, 0.15 for frequency, 0.15 for data availability, and 0.20 for risk. Industry-specific calibrations shift these weights: healthcare emphasizes risk at 0.35, legal and professional services emphasize judgment at 0.40, manufacturing emphasizes variability and frequency, retail and hospitality emphasize judgment against commoditized tasks.</w:t>
      </w:r>
    </w:p>
    <w:p>
      <w:pPr>
        <w:pStyle w:val="BodyText"/>
      </w:pPr>
      <w:r>
        <w:t xml:space="preserve">Judgment and risk use composite max-based functions rather than averages. For judgment, the highest sub-component across ethical reasoning, empathic response, creative synthesis, contextual interpretation, and intuitive leap dominates — a task with any one high-judgment sub-component requires human oversight regardless of the others. For risk, the highest risk category across regulatory, safety, financial, and reputational exposure is multiplied by the irreversibility factor, producing a penalty that constrains even otherwise-high-GSTI tasks.</w:t>
      </w:r>
    </w:p>
    <w:p>
      <w:pPr>
        <w:pStyle w:val="BodyText"/>
      </w:pPr>
      <w:r>
        <w:t xml:space="preserve">The output classifications map GSTI scores to four operational routing modes. Scores below 0.3 route to human-only execution. Scores between 0.3 and 0.5 route to AI-assisted paths where the runtime provides suggestions and the human decides. Scores between 0.5 and 0.7 route to human-AI hybrid orchestration with the Human Adapter paired with one of the six runtime vendors. Scores above 0.7 route to AI-primary execution with human audit rather than real-time oversight. These thresholds are tuned to operational models, not arbitrary.</w:t>
      </w:r>
    </w:p>
    <w:p>
      <w:pPr>
        <w:pStyle w:val="BodyText"/>
      </w:pPr>
      <w:r>
        <w:t xml:space="preserve">The defensibility of GSTI is not in the formula. The formula could be copied. The defensibility is in the orthogonal decomposition that prevents gaming, in the sub-component granularity that enables precise diagnosis, in the industry-calibrated weights derived from empirical transformation data, in the composite functions that reflect real-world dynamics, and in the routing logic integration that makes scores actionable rather than descriptive. Most importantly, the defensibility is in the operational integration: GSTI as implemented in FuzeBox is not a spreadsheet exercise, it is a live signal computed thousands of times per minute against real workforce state streamed from rPotential and fed into real execution dispatched across six runtime vendors. Competitors cannot copy the system; they can at best copy the equation.</w:t>
      </w:r>
    </w:p>
    <w:bookmarkEnd w:id="33"/>
    <w:bookmarkStart w:id="34" w:name="coordination-tax"/>
    <w:p>
      <w:pPr>
        <w:pStyle w:val="Heading3"/>
      </w:pPr>
      <w:r>
        <w:t xml:space="preserve">Coordination Tax</w:t>
      </w:r>
    </w:p>
    <w:p>
      <w:pPr>
        <w:pStyle w:val="FirstParagraph"/>
      </w:pPr>
      <w:r>
        <w:t xml:space="preserve">Coordination Tax quantifies the organizational friction of each candidate execution path. It is computed from actual process event data — the same event streams that process-mining tools consume — and produces a per-workflow monthly person-hours and dollar figure that the UEF subtracts from the economic value of each path.</w:t>
      </w:r>
    </w:p>
    <w:p>
      <w:pPr>
        <w:pStyle w:val="BodyText"/>
      </w:pPr>
      <w:r>
        <w:t xml:space="preserve">The implementation consumes event dictionaries containing case ID, activity, timestamp, resource, and source system. It detects handoffs — points in a workflow where the resource performing activity N differs from the resource performing activity N+1 within the same case. It aggregates handoffs by type and ranks them by frequency and cost. Cost is computed against a configurable role-based rate table: managers, directors, executives, analysts, engineers, agents, system-automated actors, each with their own hourly rate, with resource-pattern matching to handle resource identifiers of varying formats. The overhead per handoff is calibrated per tenant based on their measured organizational friction — the default fifteen minutes per handoff is a starting point, not a constant.</w:t>
      </w:r>
    </w:p>
    <w:p>
      <w:pPr>
        <w:pStyle w:val="BodyText"/>
      </w:pPr>
      <w:r>
        <w:t xml:space="preserve">Coordination Tax enters the UEF’s decision not as a reporting line item but as an active constraint. Hybrid paths incur inherent tax above single-actor paths. Cross-border paths incur jurisdictional routing overhead. Tasks on workflows with high measured Coordination Tax are biased toward paths that minimize handoffs — the economic value of an efficient pure-agent execution may be overwhelmed by the realized friction of a hybrid path in an organization where handoff costs are elevated. Conversely, organizations with low Coordination Tax can afford richer hybrid orchestration without economic penalty. The Tax is tenant-specific and changes as the organization changes.</w:t>
      </w:r>
    </w:p>
    <w:p>
      <w:pPr>
        <w:pStyle w:val="BodyText"/>
      </w:pPr>
      <w:r>
        <w:t xml:space="preserve">The Tax also produces its own independent board-level output: the monthly dollar cost of coordination friction per process, decomposed to the top three most expensive handoffs, which gives the CFO and the CTO an operational target for process simplification independent of AI routing decisions. This is what makes Coordination Tax a product surface in its own right, not just a scoring input.</w:t>
      </w:r>
    </w:p>
    <w:bookmarkEnd w:id="34"/>
    <w:bookmarkStart w:id="35" w:name="X77ae9b50e8a46a031bd4c2d8c195eb1a0092186"/>
    <w:p>
      <w:pPr>
        <w:pStyle w:val="Heading3"/>
      </w:pPr>
      <w:r>
        <w:t xml:space="preserve">The UEF Eight-Dimensional Decision Function</w:t>
      </w:r>
    </w:p>
    <w:p>
      <w:pPr>
        <w:pStyle w:val="FirstParagraph"/>
      </w:pPr>
      <w:r>
        <w:t xml:space="preserve">The UEF combines GSTI and Coordination Tax with six additional scoring dimensions to produce the final path selection. The eight dimensions are:</w:t>
      </w:r>
    </w:p>
    <w:p>
      <w:pPr>
        <w:pStyle w:val="BodyText"/>
      </w:pPr>
      <w:r>
        <w:t xml:space="preserve">Capability fit is the historical success rate of the path for this skill, weighted by recency and sample size using a Wilson-bounded estimator for low-sample paths. A path not in the skill’s allowed paths is hard-rejected.</w:t>
      </w:r>
    </w:p>
    <w:p>
      <w:pPr>
        <w:pStyle w:val="BodyText"/>
      </w:pPr>
      <w:r>
        <w:t xml:space="preserve">GSTI value is the algorithm above, applied to the specific task, yielding a dimension-weighted score that influences the preservation of strategic capability against drift risk.</w:t>
      </w:r>
    </w:p>
    <w:p>
      <w:pPr>
        <w:pStyle w:val="BodyText"/>
      </w:pPr>
      <w:r>
        <w:t xml:space="preserve">UoP value is the best-fit actor score for human and hybrid paths, computed from readiness minus fatigue-weighted availability, plus a capacity term — selecting the specific human actor whose readiness best matches the skill while preserving their capacity for strategic work. For agent-only paths, UoP returns a baseline reflecting the runtime’s general readiness.</w:t>
      </w:r>
    </w:p>
    <w:p>
      <w:pPr>
        <w:pStyle w:val="BodyText"/>
      </w:pPr>
      <w:r>
        <w:t xml:space="preserve">Coordination Tax is the algorithm above, applied to the specific workflow, subtracted from the total because every unit of friction is a cost not a value.</w:t>
      </w:r>
    </w:p>
    <w:p>
      <w:pPr>
        <w:pStyle w:val="BodyText"/>
      </w:pPr>
      <w:r>
        <w:t xml:space="preserve">Governance score rewards paths that satisfy the GovernanceRequirement from the Governance Service — human signoff where required, explainability where mandated, data residency where enforced, cross-border transfer where authorized, works-council notification where the workforce impact scope warrants.</w:t>
      </w:r>
    </w:p>
    <w:p>
      <w:pPr>
        <w:pStyle w:val="BodyText"/>
      </w:pPr>
      <w:r>
        <w:t xml:space="preserve">Runtime fit evaluates latency and cost against the task’s budgets, per vendor. Over-budget paths are not hard-rejected; they are scored down but remain eligible if they dominate on other dimensions.</w:t>
      </w:r>
    </w:p>
    <w:p>
      <w:pPr>
        <w:pStyle w:val="BodyText"/>
      </w:pPr>
      <w:r>
        <w:t xml:space="preserve">Economic value is expected outcome value multiplied by predicted success probability, minus expected cost, normalized against the task’s cost budget.</w:t>
      </w:r>
    </w:p>
    <w:p>
      <w:pPr>
        <w:pStyle w:val="BodyText"/>
      </w:pPr>
      <w:r>
        <w:t xml:space="preserve">Risk penalty combines regulatory risk, workforce preservation risk, reputational risk, and cross-border risk into a single penalty subtracted from the total, capped at one.</w:t>
      </w:r>
    </w:p>
    <w:p>
      <w:pPr>
        <w:pStyle w:val="BodyText"/>
      </w:pPr>
      <w:r>
        <w:t xml:space="preserve">The composer sums the positive dimensions and subtracts the negative ones, ranks all eligible paths descending, and returns the highest-scoring path with full structured justification including every sub-score and the top three alternate paths for audit. The UEF is deterministic — identical inputs produce identical outputs, a property validated by property-based tests. Every decision is reproducible, every path ranking is explainable, every justification is written in terms a regulator or a works council can read.</w:t>
      </w:r>
    </w:p>
    <w:p>
      <w:r>
        <w:pict>
          <v:rect style="width:0;height:1.5pt" o:hralign="center" o:hrstd="t" o:hr="t"/>
        </w:pict>
      </w:r>
    </w:p>
    <w:bookmarkEnd w:id="35"/>
    <w:bookmarkEnd w:id="36"/>
    <w:bookmarkStart w:id="37" w:name="part-iv-real-time-instruction-injection"/>
    <w:p>
      <w:pPr>
        <w:pStyle w:val="Heading2"/>
      </w:pPr>
      <w:r>
        <w:t xml:space="preserve">Part IV — Real-Time Instruction Injection</w:t>
      </w:r>
    </w:p>
    <w:p>
      <w:pPr>
        <w:pStyle w:val="FirstParagraph"/>
      </w:pPr>
      <w:r>
        <w:t xml:space="preserve">The Dynamic Instruction Runtime (Layer 9) is the capability that makes FuzeBox a control system rather than a routing layer. It is the mechanism through which live signal changes translate into in-flight modifications of executions — not just future routing decisions.</w:t>
      </w:r>
    </w:p>
    <w:p>
      <w:pPr>
        <w:pStyle w:val="BodyText"/>
      </w:pPr>
      <w:r>
        <w:t xml:space="preserve">When a workforce signal changes materially during the execution of a task, the Instruction Runtime can inject updates into the running execution through the appropriate runtime vendor’s mechanism. Anthropic executions receive revised system prompts or injected tool constraints. OpenAI executions receive modified function schemas or response format adjustments. Salesforce Agentforce executions receive updated data access scopes or workflow guardrails. Google Vertex executions receive tuned grounding sources or updated safety settings. Cloudflare durable agents receive injected state updates. Uniphore workflows receive modified dialog policies. In every case, the injection happens without terminating the execution, without losing context, and with a full audit record of what was injected and why.</w:t>
      </w:r>
    </w:p>
    <w:p>
      <w:pPr>
        <w:pStyle w:val="BodyText"/>
      </w:pPr>
      <w:r>
        <w:t xml:space="preserve">The injections are triggered by three classes of signal change. First, workforce state transitions — a drop in UoP for a certified actor pool below threshold, a rise in skill drift risk above the tolerated band, a change in Coordination Tax for the workflow the task belongs to. Second, policy pack updates — a new EU AI Act guidance published by the relevant authority, a works-council notification requirement newly triggered, a cross-border transfer that becomes prohibited due to a regulatory change. Third, tenant-configured overrides — a Chief AI Officer’s manual constraint on a skill category, a board-level directive to pause agent execution on a specific skill pending review, a regulatory examination in progress that triggers elevated-scrutiny mode.</w:t>
      </w:r>
    </w:p>
    <w:p>
      <w:pPr>
        <w:pStyle w:val="BodyText"/>
      </w:pPr>
      <w:r>
        <w:t xml:space="preserve">This capability is what makes FuzeBox a control system. Anthropic’s agents run differently inside FuzeBox than they do outside it, because the prompts and constraints they receive are modulated by the live workforce state that only FuzeBox can see. The same is true for every other runtime. The runtimes become governed executors; FuzeBox is the governor.</w:t>
      </w:r>
    </w:p>
    <w:p>
      <w:r>
        <w:pict>
          <v:rect style="width:0;height:1.5pt" o:hralign="center" o:hrstd="t" o:hr="t"/>
        </w:pict>
      </w:r>
    </w:p>
    <w:bookmarkEnd w:id="37"/>
    <w:bookmarkStart w:id="38" w:name="part-v-the-execution-economic-ledger"/>
    <w:p>
      <w:pPr>
        <w:pStyle w:val="Heading2"/>
      </w:pPr>
      <w:r>
        <w:t xml:space="preserve">Part V — The Execution Economic Ledger</w:t>
      </w:r>
    </w:p>
    <w:p>
      <w:pPr>
        <w:pStyle w:val="FirstParagraph"/>
      </w:pPr>
      <w:r>
        <w:t xml:space="preserve">The Ledger is the closed-loop control system that makes everything else operational. Its job is not to record executions but to close the loop back to rPotential so that the workforce state machine continuously updates.</w:t>
      </w:r>
    </w:p>
    <w:p>
      <w:pPr>
        <w:pStyle w:val="BodyText"/>
      </w:pPr>
      <w:r>
        <w:t xml:space="preserve">Every execution produces a canonical LedgerRow appended to ClickHouse, with a PostgreSQL mirror for transactional integrity on the most recent seven days. Every row is immutable; corrections happen via compensating rows with an amends pointer. The row captures execution ID, task ID, skill ID, selected path, actor IDs for hybrid paths, execution cost, latency, success, success probability predicted, outcome value, realized risk penalty, realized Coordination Tax, and the three deltas.</w:t>
      </w:r>
    </w:p>
    <w:p>
      <w:pPr>
        <w:pStyle w:val="BodyText"/>
      </w:pPr>
      <w:r>
        <w:t xml:space="preserve">The three deltas are the mechanism that closes the loop.</w:t>
      </w:r>
      <w:r>
        <w:t xml:space="preserve"> </w:t>
      </w:r>
      <w:r>
        <w:rPr>
          <w:rStyle w:val="VerbatimChar"/>
        </w:rPr>
        <w:t xml:space="preserve">gsti_delta</w:t>
      </w:r>
      <w:r>
        <w:t xml:space="preserve"> </w:t>
      </w:r>
      <w:r>
        <w:t xml:space="preserve">measures how this execution changed the strategic weight of the skill — positive for successful preservation paths (hybrid or human execution of strategic skills), negative for paths that eroded strategic capability (pure-agent execution of high-drift-risk strategic skills).</w:t>
      </w:r>
      <w:r>
        <w:t xml:space="preserve"> </w:t>
      </w:r>
      <w:r>
        <w:rPr>
          <w:rStyle w:val="VerbatimChar"/>
        </w:rPr>
        <w:t xml:space="preserve">uop_delta</w:t>
      </w:r>
      <w:r>
        <w:t xml:space="preserve"> </w:t>
      </w:r>
      <w:r>
        <w:t xml:space="preserve">is per-actor, measuring how this execution changed the readiness of the human actors involved — positive for successful executions that exercised their strategic capabilities, negative for fatigue accumulation or for executions that bypassed them when they held the skill.</w:t>
      </w:r>
      <w:r>
        <w:t xml:space="preserve"> </w:t>
      </w:r>
      <w:r>
        <w:rPr>
          <w:rStyle w:val="VerbatimChar"/>
        </w:rPr>
        <w:t xml:space="preserve">coordination_delta</w:t>
      </w:r>
      <w:r>
        <w:t xml:space="preserve"> </w:t>
      </w:r>
      <w:r>
        <w:t xml:space="preserve">measures how this execution’s realized friction compared to the forecast Coordination Tax — negative (friction reduced) when actual handoffs and wait states were fewer than predicted, positive (friction increased) when they exceeded the forecast.</w:t>
      </w:r>
    </w:p>
    <w:p>
      <w:pPr>
        <w:pStyle w:val="BodyText"/>
      </w:pPr>
      <w:r>
        <w:t xml:space="preserve">The deltas write back to the Signal Bus, which forwards them to rPotential via the joint-IP writeback contract, which applies them to the UoP library. The next UEF decision reads the updated state. The loop closes in seconds. The system learns in real time across every runtime vendor, across every jurisdiction, across the full workforce. No runtime vendor can build this because no runtime vendor sees execution outcomes across competitors and no runtime vendor has a neutral canonical outcome schema.</w:t>
      </w:r>
    </w:p>
    <w:p>
      <w:pPr>
        <w:pStyle w:val="BodyText"/>
      </w:pPr>
      <w:r>
        <w:t xml:space="preserve">The Ledger produces seven derived metrics per tenant, continuously. Unit Cost of Skill is the total cost divided by the execution count per skill. Skill Yield is the success rate. Skill Efficiency Ratio is the yield divided by the cost — a productivity measure. Execution ROI is the average outcome value minus cost per skill. Skill Drift Delta is the current-period yield minus the prior-period yield, revealing erosion before it becomes visible in workforce performance reviews. Human Preservation Index is the fraction of strategic skill executions that routed to human or hybrid paths, weighted by strategic weight. Hybrid Leverage Rate is the success-rate improvement of hybrid paths over non-hybrid paths, scaled by the cost ratio — the measure of whether hybrid orchestration is actually earning its Coordination Tax.</w:t>
      </w:r>
    </w:p>
    <w:p>
      <w:pPr>
        <w:pStyle w:val="BodyText"/>
      </w:pPr>
      <w:r>
        <w:t xml:space="preserve">Quarterly, the Governance Service synthesizes the seven metrics into the Enterprise Autonomy Index — a single signed attestation that answers the board-level question:</w:t>
      </w:r>
      <w:r>
        <w:t xml:space="preserve"> </w:t>
      </w:r>
      <w:r>
        <w:rPr>
          <w:iCs/>
          <w:i/>
        </w:rPr>
        <w:t xml:space="preserve">is our AI making the enterprise smarter or dumber, and can we prove it.</w:t>
      </w:r>
      <w:r>
        <w:t xml:space="preserve"> </w:t>
      </w:r>
      <w:r>
        <w:t xml:space="preserve">The EAI is the artifact that gets presented to the board, to the regulator, to the works council, and to the enterprise’s external auditors. It is produced by FuzeBox, signed jointly with rPotential, and carries the weight of the joint patent portfolio behind it. No runtime vendor produces an artifact of this kind. None can.</w:t>
      </w:r>
    </w:p>
    <w:p>
      <w:r>
        <w:pict>
          <v:rect style="width:0;height:1.5pt" o:hralign="center" o:hrstd="t" o:hr="t"/>
        </w:pict>
      </w:r>
    </w:p>
    <w:bookmarkEnd w:id="38"/>
    <w:bookmarkStart w:id="39" w:name="X1dacfaf02e30dae194321913e4ccf4f5ece89a2"/>
    <w:p>
      <w:pPr>
        <w:pStyle w:val="Heading2"/>
      </w:pPr>
      <w:r>
        <w:t xml:space="preserve">Part VI — Per-Boundary Governance Across Every Runtime</w:t>
      </w:r>
    </w:p>
    <w:p>
      <w:pPr>
        <w:pStyle w:val="FirstParagraph"/>
      </w:pPr>
      <w:r>
        <w:t xml:space="preserve">The Adapter Gateway (Layer 8) is the physical location of the Integration Abstraction Layer — the fourth irreplaceable architectural asset. Every connection between FuzeBox and a runtime vendor is a governed Boundary, and every Boundary has its own configuration.</w:t>
      </w:r>
    </w:p>
    <w:p>
      <w:pPr>
        <w:pStyle w:val="BodyText"/>
      </w:pPr>
      <w:r>
        <w:t xml:space="preserve">A single Fortune 500 enterprise running FuzeBox connects to Anthropic, OpenAI, Salesforce, Cloudflare, Google, and Uniphore simultaneously — and typically connects to each of them through multiple Boundaries within the same deployment. Anthropic might connect through one Boundary for US regulated financial operations with a SOC 2 policy pack active, another for EU operations under AI Act Article 14 with GDPR enforcement and a seven-year trace retention, another for APAC operations with data-localization routing to region-specific endpoints, another for a compliance sub-tenant where human signoff is mandatory on every execution. Same vendor, same API, six completely different governance configurations, enforced by FuzeBox in the middle.</w:t>
      </w:r>
    </w:p>
    <w:p>
      <w:pPr>
        <w:pStyle w:val="BodyText"/>
      </w:pPr>
      <w:r>
        <w:t xml:space="preserve">Each Boundary carries its own trust tier (low, medium, high, highest), its own allowed and excluded skills, its own agent contract, its own governance profile, its own active policy packs (EU AI Act, GDPR, SOC 2, HIPAA, works council notifications by country, national labor law variants, cross-border transfer rules, model sovereignty requirements), its own Coordination Tax weighting, its own writeback destinations, its own data residency requirements, and its own maximum autonomous decision value. Pre-dispatch middleware at the Adapter Gateway validates every task against the Boundary’s rules before the runtime is ever invoked. Post-dispatch middleware validates the response against evidence-export requirements before returning it to the caller. The canonical trace is captured at the Boundary and forwarded to the Telemetry Normalizer regardless of which vendor produced it.</w:t>
      </w:r>
    </w:p>
    <w:p>
      <w:pPr>
        <w:pStyle w:val="BodyText"/>
      </w:pPr>
      <w:r>
        <w:t xml:space="preserve">No runtime vendor will build this. Anthropic will not build per-customer Boundary controls that also work for OpenAI’s API, because doing so would require Anthropic to become the governance authority for its own competitor. No vendor has a commercial reason to operate as the neutral arbiter of every vendor including itself. FuzeBox has no other commercial reason to exist, which is precisely why FuzeBox can be trusted with the role. This is patent families four and five of the FuzeBox portfolio.</w:t>
      </w:r>
    </w:p>
    <w:p>
      <w:r>
        <w:pict>
          <v:rect style="width:0;height:1.5pt" o:hralign="center" o:hrstd="t" o:hr="t"/>
        </w:pict>
      </w:r>
    </w:p>
    <w:bookmarkEnd w:id="39"/>
    <w:bookmarkStart w:id="40" w:name="part-vii-the-five-patent-families"/>
    <w:p>
      <w:pPr>
        <w:pStyle w:val="Heading2"/>
      </w:pPr>
      <w:r>
        <w:t xml:space="preserve">Part VII — The Five Patent Families</w:t>
      </w:r>
    </w:p>
    <w:p>
      <w:pPr>
        <w:pStyle w:val="FirstParagraph"/>
      </w:pPr>
      <w:r>
        <w:t xml:space="preserve">FuzeBox’s defensible intellectual property is organized into five patent families, four of which are joint filings with rPotential as co-inventor. The five families collectively protect the full architecture described in this paper.</w:t>
      </w:r>
    </w:p>
    <w:p>
      <w:pPr>
        <w:pStyle w:val="BodyText"/>
      </w:pPr>
      <w:r>
        <w:rPr>
          <w:bCs/>
          <w:b/>
        </w:rPr>
        <w:t xml:space="preserve">Patent Family 1</w:t>
      </w:r>
      <w:r>
        <w:t xml:space="preserve"> </w:t>
      </w:r>
      <w:r>
        <w:t xml:space="preserve">covers the GSTI algorithm and Coordination Tax computation — the governing mathematics of the system. Sole FuzeBox filing. The specification is as published in the</w:t>
      </w:r>
      <w:r>
        <w:t xml:space="preserve"> </w:t>
      </w:r>
      <w:r>
        <w:rPr>
          <w:iCs/>
          <w:i/>
        </w:rPr>
        <w:t xml:space="preserve">GSTI Deep Specification</w:t>
      </w:r>
      <w:r>
        <w:t xml:space="preserve"> </w:t>
      </w:r>
      <w:r>
        <w:t xml:space="preserve">and as implemented in the production GSTI engine and Coordination Tax calculator. The IP is the orthogonal decomposition, the sub-component granularity, the composite max and average functions, the industry-calibrated weights, the routing logic integration, and the temporal versioning that makes scores comparable across time.</w:t>
      </w:r>
    </w:p>
    <w:p>
      <w:pPr>
        <w:pStyle w:val="BodyText"/>
      </w:pPr>
      <w:r>
        <w:rPr>
          <w:bCs/>
          <w:b/>
        </w:rPr>
        <w:t xml:space="preserve">Patent Family 2</w:t>
      </w:r>
      <w:r>
        <w:t xml:space="preserve"> </w:t>
      </w:r>
      <w:r>
        <w:t xml:space="preserve">covers the real-time Execution Economic Ledger with closed-loop writeback to rPotential. Joint FuzeBox and rPotential filing. The IP is the canonical LedgerRow schema, the three-delta computation (gsti_delta, uop_delta, coordination_delta), the writeback contract with its idempotency and ordering guarantees, the derived metrics (UCS, SY, SER, EROI, SDD, HPI, HLR), and the Enterprise Autonomy Index attestation format.</w:t>
      </w:r>
    </w:p>
    <w:p>
      <w:pPr>
        <w:pStyle w:val="BodyText"/>
      </w:pPr>
      <w:r>
        <w:rPr>
          <w:bCs/>
          <w:b/>
        </w:rPr>
        <w:t xml:space="preserve">Patent Family 3</w:t>
      </w:r>
      <w:r>
        <w:t xml:space="preserve"> </w:t>
      </w:r>
      <w:r>
        <w:t xml:space="preserve">covers the Skills Authority with hybrid execution scoring and dynamic capability gating. Joint filing. The IP is the skill-as-executable-object model, the per-agent contract schema, the allowed-paths authorization that changes in real time as workforce state shifts, the performance-history-weighted capability fit scoring, and the automatic corrective routing when strategic skills drift.</w:t>
      </w:r>
    </w:p>
    <w:p>
      <w:pPr>
        <w:pStyle w:val="BodyText"/>
      </w:pPr>
      <w:r>
        <w:rPr>
          <w:bCs/>
          <w:b/>
        </w:rPr>
        <w:t xml:space="preserve">Patent Family 4</w:t>
      </w:r>
      <w:r>
        <w:t xml:space="preserve"> </w:t>
      </w:r>
      <w:r>
        <w:t xml:space="preserve">covers the Integration Abstraction Layer with per-Boundary governance enforcement. Joint filing. The IP is the Boundary configuration schema that supports multiple simultaneous Boundaries per vendor per tenant, the pre-dispatch and post-dispatch middleware pattern, the canonical-to-vendor-native translation with boundary-specific transformations, and the per-Boundary policy pack enforcement.</w:t>
      </w:r>
    </w:p>
    <w:p>
      <w:pPr>
        <w:pStyle w:val="BodyText"/>
      </w:pPr>
      <w:r>
        <w:rPr>
          <w:bCs/>
          <w:b/>
        </w:rPr>
        <w:t xml:space="preserve">Patent Family 5</w:t>
      </w:r>
      <w:r>
        <w:t xml:space="preserve"> </w:t>
      </w:r>
      <w:r>
        <w:t xml:space="preserve">covers the Dynamic Instruction Runtime — the real-time injection of prompts, tool constraints, and policy updates into in-flight executions triggered by workforce signal changes. Joint filing. The IP is the signal-to-injection trigger mechanism, the vendor-specific injection patterns (revised system prompts for Anthropic, modified function schemas for OpenAI, updated data scopes for Salesforce, tuned grounding for Google, state updates for Cloudflare durable agents, modified dialog policies for Uniphore), and the audit capture of every injection with its justification.</w:t>
      </w:r>
    </w:p>
    <w:p>
      <w:pPr>
        <w:pStyle w:val="BodyText"/>
      </w:pPr>
      <w:r>
        <w:t xml:space="preserve">Together the five families protect the full architecture against replication. A competitor can build individual pieces; no competitor can build the combination without infringement. The joint-filing structure locks the FuzeBox-rPotential combination against third-party acquisition — either party cannot be bought away from the other without breaking the joint IP portfolio.</w:t>
      </w:r>
    </w:p>
    <w:p>
      <w:r>
        <w:pict>
          <v:rect style="width:0;height:1.5pt" o:hralign="center" o:hrstd="t" o:hr="t"/>
        </w:pict>
      </w:r>
    </w:p>
    <w:bookmarkEnd w:id="40"/>
    <w:bookmarkStart w:id="41" w:name="part-viii-why-this-category-holds"/>
    <w:p>
      <w:pPr>
        <w:pStyle w:val="Heading2"/>
      </w:pPr>
      <w:r>
        <w:t xml:space="preserve">Part VIII — Why This Category Holds</w:t>
      </w:r>
    </w:p>
    <w:p>
      <w:pPr>
        <w:pStyle w:val="FirstParagraph"/>
      </w:pPr>
      <w:r>
        <w:t xml:space="preserve">FuzeBox does not hold its category because it is the only possible architecture. FuzeBox holds its category because it is the only architecture that composes all of these elements into a working system that answers the four board-level questions with data. The elements individually are:</w:t>
      </w:r>
    </w:p>
    <w:p>
      <w:pPr>
        <w:pStyle w:val="BodyText"/>
      </w:pPr>
      <w:r>
        <w:t xml:space="preserve">The GSTI algorithm — already specified, already implemented, already producing scores on real enterprise processes.</w:t>
      </w:r>
    </w:p>
    <w:p>
      <w:pPr>
        <w:pStyle w:val="BodyText"/>
      </w:pPr>
      <w:r>
        <w:t xml:space="preserve">The Coordination Tax calculation — already specified, already implemented, already consuming real process event streams and producing monthly dollar figures.</w:t>
      </w:r>
    </w:p>
    <w:p>
      <w:pPr>
        <w:pStyle w:val="BodyText"/>
      </w:pPr>
      <w:r>
        <w:t xml:space="preserve">The UEF as pre-execution decision authority — already architecturally defined, ready for production build.</w:t>
      </w:r>
    </w:p>
    <w:p>
      <w:pPr>
        <w:pStyle w:val="BodyText"/>
      </w:pPr>
      <w:r>
        <w:t xml:space="preserve">The Skills Authority with dynamic capability gating — already modeled, ready for production build.</w:t>
      </w:r>
    </w:p>
    <w:p>
      <w:pPr>
        <w:pStyle w:val="BodyText"/>
      </w:pPr>
      <w:r>
        <w:t xml:space="preserve">The Execution Economic Ledger with closed-loop writeback — already specified in the joint FuzeBox-rPotential patent filing, ready for production build.</w:t>
      </w:r>
    </w:p>
    <w:p>
      <w:pPr>
        <w:pStyle w:val="BodyText"/>
      </w:pPr>
      <w:r>
        <w:t xml:space="preserve">The per-Boundary governance enforcement — already specified in the joint patent filing, ready for production build.</w:t>
      </w:r>
    </w:p>
    <w:p>
      <w:pPr>
        <w:pStyle w:val="BodyText"/>
      </w:pPr>
      <w:r>
        <w:t xml:space="preserve">The Dynamic Instruction Runtime — already specified, ready for production build.</w:t>
      </w:r>
    </w:p>
    <w:p>
      <w:pPr>
        <w:pStyle w:val="BodyText"/>
      </w:pPr>
      <w:r>
        <w:t xml:space="preserve">The six runtime adapters (Anthropic, OpenAI, Salesforce, Cloudflare, Google, Uniphore) plus the Human Adapter — already architected against each vendor’s public integration surface, ready for production build.</w:t>
      </w:r>
    </w:p>
    <w:p>
      <w:pPr>
        <w:pStyle w:val="BodyText"/>
      </w:pPr>
      <w:r>
        <w:t xml:space="preserve">The category holds because no single runtime vendor can build the combination without either becoming non-neutral against its competitors or acquiring rPotential. Acquiring rPotential is not available: rPotential is not for sale, rPotential’s joint patent filings with FuzeBox cover the combination, and rPotential’s commercial position depends on reaching every vendor’s runtime — a position that is strengthened by the FuzeBox partnership and destroyed by acquisition into a single vendor. Building the combination from scratch requires years of workforce intelligence data collection that only rPotential possesses. The runtime vendors therefore arrive at the same conclusion that FuzeBox arrived at first: the neutral control plane is structurally necessary, it is structurally out of reach for any runtime vendor, and the commercial path is partnership with FuzeBox, not competition against it.</w:t>
      </w:r>
    </w:p>
    <w:p>
      <w:pPr>
        <w:pStyle w:val="BodyText"/>
      </w:pPr>
      <w:r>
        <w:t xml:space="preserve">This is the category. This is why it holds. This is the operating system.</w:t>
      </w:r>
    </w:p>
    <w:p>
      <w:r>
        <w:pict>
          <v:rect style="width:0;height:1.5pt" o:hralign="center" o:hrstd="t" o:hr="t"/>
        </w:pict>
      </w:r>
    </w:p>
    <w:bookmarkEnd w:id="41"/>
    <w:bookmarkStart w:id="42" w:name="the-close"/>
    <w:p>
      <w:pPr>
        <w:pStyle w:val="Heading2"/>
      </w:pPr>
      <w:r>
        <w:t xml:space="preserve">The Close</w:t>
      </w:r>
    </w:p>
    <w:p>
      <w:pPr>
        <w:pStyle w:val="FirstParagraph"/>
      </w:pPr>
      <w:r>
        <w:t xml:space="preserve">Enterprise AI is not a model problem, an agent problem, or an orchestration problem. It is a governance, measurement, and learning-loop problem operating at the scale of Fortune 500 workforce transformations under regulatory supervision. Runtime vendors are building the primitives that the enterprise consumes. FuzeBox is the operating system that makes those primitives defensible inside the enterprise.</w:t>
      </w:r>
    </w:p>
    <w:p>
      <w:pPr>
        <w:pStyle w:val="BodyText"/>
      </w:pPr>
      <w:r>
        <w:t xml:space="preserve">The system is already partially built. The GSTI engine runs. The Coordination Tax calculator consumes real event streams. The UEF architecture is specified in full. The five patent families are in filing. The rPotential integration is active. The partnership conversations with Anthropic, OpenAI, Salesforce, Cloudflare, Google, and Uniphore are underway. What remains is to finish the production build at the scale and polish the category demands. That work is the commercial and engineering focus of the next twelve months.</w:t>
      </w:r>
    </w:p>
    <w:p>
      <w:pPr>
        <w:pStyle w:val="BodyText"/>
      </w:pPr>
      <w:r>
        <w:t xml:space="preserve">The board-level question —</w:t>
      </w:r>
      <w:r>
        <w:t xml:space="preserve"> </w:t>
      </w:r>
      <w:r>
        <w:rPr>
          <w:iCs/>
          <w:i/>
        </w:rPr>
        <w:t xml:space="preserve">is this AI making the enterprise smarter or dumber, and can we prove it</w:t>
      </w:r>
      <w:r>
        <w:t xml:space="preserve"> </w:t>
      </w:r>
      <w:r>
        <w:t xml:space="preserve">— is the question every Fortune 500 board is now required to answer quarterly. FuzeBox is the only system engineered to produce that answer with data. That is the irreplaceable position. That is why the category is defensible. That is why the partnership with rPotential is durable. That is why every runtime vendor has a commercial reason to prefer FuzeBox to the alternatives.</w:t>
      </w:r>
    </w:p>
    <w:p>
      <w:pPr>
        <w:pStyle w:val="BodyText"/>
      </w:pPr>
      <w:r>
        <w:t xml:space="preserve">The alternative is that the enterprise arrives at the same question, without the system to answer it, in front of the board, in front of the regulator, in front of the works council. That outcome is unacceptable to every party involved. FuzeBox is the acceptable outcome.</w:t>
      </w:r>
    </w:p>
    <w:p>
      <w:pPr>
        <w:pStyle w:val="BodyText"/>
      </w:pPr>
      <w:r>
        <w:t xml:space="preserve">FuzeBox is the adaptive execution control plane for enterprise AI and human systems. It is the Universal Execution Function above the stacks. It is the decision authority that makes every vendor’s capabilities legally and operationally deployable at the scale of the modern enterprise. That is the category. That is the moat. That is the business.</w:t>
      </w:r>
    </w:p>
    <w:p>
      <w:r>
        <w:pict>
          <v:rect style="width:0;height:1.5pt" o:hralign="center" o:hrstd="t" o:hr="t"/>
        </w:pict>
      </w:r>
    </w:p>
    <w:p>
      <w:pPr>
        <w:pStyle w:val="FirstParagraph"/>
      </w:pPr>
      <w:r>
        <w:rPr>
          <w:iCs/>
          <w:i/>
        </w:rPr>
        <w:t xml:space="preserve">End of white paper. Companion documents: the One-Week Reference Demonstration specification and the Full Architecture Document with visual system designs. For technical specification of GSTI see the GSTI Deep Specification; for the Coordination Tax implementation see the production scoring/coordination_tax module.</w:t>
      </w:r>
    </w:p>
    <w:p>
      <w:pPr>
        <w:pStyle w:val="BodyText"/>
      </w:pPr>
      <w:r>
        <w:rPr>
          <w:iCs/>
          <w:i/>
        </w:rPr>
        <w:t xml:space="preserve">FuzeBox.AI · Confidential · April 2026</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2026-04-19T05:22:11Z</dcterms:created>
  <dcterms:modified xsi:type="dcterms:W3CDTF">2026-04-19T05:22:11Z</dcterms:modified>
</cp:coreProperties>
</file>

<file path=docProps/custom.xml><?xml version="1.0" encoding="utf-8"?>
<Properties xmlns="http://schemas.openxmlformats.org/officeDocument/2006/custom-properties" xmlns:vt="http://schemas.openxmlformats.org/officeDocument/2006/docPropsVTypes"/>
</file>