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f6f7e7a68b02e3962d39732a52732b654f5ebbb"/>
    <w:p>
      <w:pPr>
        <w:pStyle w:val="Heading1"/>
      </w:pPr>
      <w:r>
        <w:t xml:space="preserve">FuzeBox AEOS — One-Week Reference Demonstration</w:t>
      </w:r>
    </w:p>
    <w:bookmarkStart w:id="21" w:name="X4b64bf3c002fa2d138e557fbae1580e31036508"/>
    <w:p>
      <w:pPr>
        <w:pStyle w:val="Heading2"/>
      </w:pPr>
      <w:r>
        <w:t xml:space="preserve">Specification for a Live, Runnable Proof of the Architecture</w:t>
      </w:r>
    </w:p>
    <w:bookmarkStart w:id="20" w:name="X01cb6acacf99be1811be81745bc0a7bab98b04b"/>
    <w:p>
      <w:pPr>
        <w:pStyle w:val="Heading3"/>
      </w:pPr>
      <w:r>
        <w:t xml:space="preserve">Seven-Day Build, Stood Up and Ready to Demonstrate</w:t>
      </w:r>
    </w:p>
    <w:p>
      <w:pPr>
        <w:pStyle w:val="FirstParagraph"/>
      </w:pPr>
      <w:r>
        <w:rPr>
          <w:bCs/>
          <w:b/>
        </w:rPr>
        <w:t xml:space="preserve">Companion to:</w:t>
      </w:r>
      <w:r>
        <w:t xml:space="preserve"> </w:t>
      </w:r>
      <w:r>
        <w:t xml:space="preserve">FuzeBox AEOS White Paper, Full Architecture Document</w:t>
      </w:r>
      <w:r>
        <w:t xml:space="preserve"> </w:t>
      </w:r>
      <w:r>
        <w:rPr>
          <w:bCs/>
          <w:b/>
        </w:rPr>
        <w:t xml:space="preserve">April 2026 · FuzeBox.AI · Confidential</w:t>
      </w:r>
    </w:p>
    <w:p>
      <w:r>
        <w:pict>
          <v:rect style="width:0;height:1.5pt" o:hralign="center" o:hrstd="t" o:hr="t"/>
        </w:pict>
      </w:r>
    </w:p>
    <w:bookmarkEnd w:id="20"/>
    <w:bookmarkEnd w:id="21"/>
    <w:bookmarkStart w:id="22" w:name="what-this-is"/>
    <w:p>
      <w:pPr>
        <w:pStyle w:val="Heading2"/>
      </w:pPr>
      <w:r>
        <w:t xml:space="preserve">What This Is</w:t>
      </w:r>
    </w:p>
    <w:p>
      <w:pPr>
        <w:pStyle w:val="FirstParagraph"/>
      </w:pPr>
      <w:r>
        <w:t xml:space="preserve">This is the one-week reference demonstration — a live, runnable, stand-up-able proof that the FuzeBox Universal Execution Function, Skills Authority, Coordination Tax, GSTI scoring, Execution Economic Ledger with rPotential writeback, and per-Boundary governance across all six runtime vendors is architecturally real, operationally coherent, and demonstrable on command.</w:t>
      </w:r>
    </w:p>
    <w:p>
      <w:pPr>
        <w:pStyle w:val="BodyText"/>
      </w:pPr>
      <w:r>
        <w:t xml:space="preserve">The goal of the one-week demo is not to build the production system. The production system is a twelve-week engagement described in the Full Architecture Document. The goal of the one-week demo is to stand up — in seven calendar days — a working system that a senior engineering leader, a strategic partner, or a potential board member can sit in front of, submit a realistic enterprise workforce-transformation task through, and watch FuzeBox route it live across the six runtime vendors while writing back to rPotential in real time.</w:t>
      </w:r>
    </w:p>
    <w:p>
      <w:pPr>
        <w:pStyle w:val="BodyText"/>
      </w:pPr>
      <w:r>
        <w:t xml:space="preserve">The demo’s success criterion is narrative. It has to make the architecture feel inevitable in forty-five minutes. Every feature described in the white paper must be visible, operating, and explicable in one sitting.</w:t>
      </w:r>
    </w:p>
    <w:p>
      <w:r>
        <w:pict>
          <v:rect style="width:0;height:1.5pt" o:hralign="center" o:hrstd="t" o:hr="t"/>
        </w:pict>
      </w:r>
    </w:p>
    <w:bookmarkEnd w:id="22"/>
    <w:bookmarkStart w:id="23" w:name="the-demo-narrative-what-the-visitor-sees"/>
    <w:p>
      <w:pPr>
        <w:pStyle w:val="Heading2"/>
      </w:pPr>
      <w:r>
        <w:t xml:space="preserve">The Demo Narrative (What the Visitor Sees)</w:t>
      </w:r>
    </w:p>
    <w:p>
      <w:pPr>
        <w:pStyle w:val="FirstParagraph"/>
      </w:pPr>
      <w:r>
        <w:t xml:space="preserve">The visitor arrives. Les opens a browser to a single control-plane dashboard. The dashboard shows six runtime vendors connected live, each with a green status indicator and real-time latency measurements — Anthropic, OpenAI, Salesforce Agentforce, Cloudflare Workers AI, Google Vertex, Uniphore. The rPotential integration shows active workforce-signal streaming for the demo tenant. The Economic Ledger shows a live history of prior executions with cost, outcome, and delta writebacks. The Coordination Tax panel shows the measured organizational friction of the tenant’s current workflows in dollars per month.</w:t>
      </w:r>
    </w:p>
    <w:p>
      <w:pPr>
        <w:pStyle w:val="BodyText"/>
      </w:pPr>
      <w:r>
        <w:t xml:space="preserve">Les clicks</w:t>
      </w:r>
      <w:r>
        <w:t xml:space="preserve"> </w:t>
      </w:r>
      <w:r>
        <w:t xml:space="preserve">“</w:t>
      </w:r>
      <w:r>
        <w:t xml:space="preserve">Submit Enterprise Task.</w:t>
      </w:r>
      <w:r>
        <w:t xml:space="preserve">”</w:t>
      </w:r>
      <w:r>
        <w:t xml:space="preserve"> </w:t>
      </w:r>
      <w:r>
        <w:t xml:space="preserve">A task definition field opens. He types a realistic enterprise workforce transformation task — something at the scale of</w:t>
      </w:r>
      <w:r>
        <w:t xml:space="preserve"> </w:t>
      </w:r>
      <w:r>
        <w:t xml:space="preserve">“</w:t>
      </w:r>
      <w:r>
        <w:t xml:space="preserve">Draft the initial transformation impact assessment for our EMEA regulatory compliance function based on current workforce state and propose a recommended three-quarter transition plan with preserved human strategic capability above threshold.</w:t>
      </w:r>
      <w:r>
        <w:t xml:space="preserve">”</w:t>
      </w:r>
      <w:r>
        <w:t xml:space="preserve"> </w:t>
      </w:r>
      <w:r>
        <w:t xml:space="preserve">The task has real regulatory class, real jurisdiction, real workforce impact scope.</w:t>
      </w:r>
    </w:p>
    <w:p>
      <w:pPr>
        <w:pStyle w:val="BodyText"/>
      </w:pPr>
      <w:r>
        <w:t xml:space="preserve">He clicks Submit. The control plane lights up visibly. Layer 1 (Intent Classifier) classifies the task — complex, HIGH risk, EU jurisdiction, enterprise-scope workforce impact, explainability mandatory. Layer 2 (Governance) loads the EU AI Act high-risk policy pack, the GDPR pack, the Germany works-council pack, assembles the GovernanceRequirement. Layer 3 (Skills Authority) resolves the required skills — regulatory analysis, workforce planning, compliance synthesis — and returns the authorized execution paths. Layer 6 (Signal Bus) pulls current workforce signals live from rPotential — GSTI 0.64 for regulatory_analysis, UoP 0.71 for senior_compliance_lead, Coordination Tax at $47,200 per month for the affected workflow.</w:t>
      </w:r>
    </w:p>
    <w:p>
      <w:pPr>
        <w:pStyle w:val="BodyText"/>
      </w:pPr>
      <w:r>
        <w:t xml:space="preserve">Layer 7 (UEF) lights up with live scoring. The dashboard renders a score table showing 14 candidate paths evaluated in real time against 8 scoring dimensions each. The scoring breakdown is visible — capability fit, GSTI value, UoP value, Coordination Tax, governance score, runtime fit, economic value, risk penalty. The winning path emerges:</w:t>
      </w:r>
      <w:r>
        <w:t xml:space="preserve"> </w:t>
      </w:r>
      <w:r>
        <w:rPr>
          <w:bCs/>
          <w:b/>
        </w:rPr>
        <w:t xml:space="preserve">hybrid execution combining Anthropic Claude for regulatory reasoning with Google Vertex Gemini for multi-modal document analysis with a senior compliance lead from the Human Adapter for strategic signoff.</w:t>
      </w:r>
      <w:r>
        <w:t xml:space="preserve"> </w:t>
      </w:r>
      <w:r>
        <w:t xml:space="preserve">Total score visible. Justification rendered in plain language. Alternate paths rendered ranked below.</w:t>
      </w:r>
    </w:p>
    <w:p>
      <w:pPr>
        <w:pStyle w:val="BodyText"/>
      </w:pPr>
      <w:r>
        <w:t xml:space="preserve">Layer 8 (Adapter Gateway) dispatches. Three streams open simultaneously on the dashboard. Anthropic’s stream shows Claude producing regulatory analysis with the injected system prompt visible — the visitor sees that FuzeBox modified the prompt based on live signal state via Layer 9 (Instruction Runtime). Google Vertex’s stream shows Gemini processing supporting exhibits. The Human Adapter’s stream shows the task queued to a (simulated) compliance lead with auto-completion simulating human review in ten seconds.</w:t>
      </w:r>
    </w:p>
    <w:p>
      <w:pPr>
        <w:pStyle w:val="BodyText"/>
      </w:pPr>
      <w:r>
        <w:t xml:space="preserve">All three streams complete. The Adapter Gateway composes the responses. Layer 10 (Telemetry Normalizer) converts three vendor-native traces into canonical events. Layer 11 (Ledger) appends a LedgerRow — total cost visible, total latency visible, three deltas computed: gsti_delta +0.04 (strategic skill preserved), uop_delta +0.03 for the compliance lead, coordination_delta −0.08 (friction lower than forecast because the hybrid path outperformed the historical baseline).</w:t>
      </w:r>
    </w:p>
    <w:p>
      <w:pPr>
        <w:pStyle w:val="BodyText"/>
      </w:pPr>
      <w:r>
        <w:t xml:space="preserve">The writeback to rPotential fires. Within 500 milliseconds the rPotential dashboard panel updates — UoP for senior_compliance_lead climbs, GSTI for regulatory_analysis adjusts, Coordination Tax on the workflow ticks down. Layer 12 (Governance) produces a signed evidence bundle in EU AI Act Article 14 format, formatted for a German works council, timestamped, cryptographically signed with Ed25519.</w:t>
      </w:r>
    </w:p>
    <w:p>
      <w:pPr>
        <w:pStyle w:val="BodyText"/>
      </w:pPr>
      <w:r>
        <w:t xml:space="preserve">Les submits a second task, different in shape — a high-frequency, low-risk, high-data-availability task. The UEF routes it differently — pure-agent execution through OpenAI because GSTI + Coordination Tax + risk penalty produce a different winner. Same system, different decision, visible reasoning. Les submits a third, a cross-jurisdictional task — the UEF routes different instances of the same task to different runtimes based on jurisdictional Boundary rules: Anthropic EU-resident for Germany, Google Vertex for France, OpenAI for the US, all executing in parallel, all governed differently, one unified signed attestation at the end.</w:t>
      </w:r>
    </w:p>
    <w:p>
      <w:pPr>
        <w:pStyle w:val="BodyText"/>
      </w:pPr>
      <w:r>
        <w:t xml:space="preserve">Les submits a fourth task with a deliberately adversarial governance profile — high risk, strategic skill drifting below threshold, works-council notification required. The Dynamic Instruction Runtime visibly intervenes mid-execution. The signal state changes because the previous executions pushed GSTI below a trigger. The Instruction Runtime injects a revised system prompt into the running Anthropic execution, tightening the constraint. The dashboard shows the injection happening in real time with its justification.</w:t>
      </w:r>
    </w:p>
    <w:p>
      <w:pPr>
        <w:pStyle w:val="BodyText"/>
      </w:pPr>
      <w:r>
        <w:t xml:space="preserve">Les closes the demo. Total elapsed: forty minutes. The visitor has seen every layer, every vendor, the GSTI algorithm live, Coordination Tax live, rPotential writeback live, per-Boundary governance live, and real-time instruction injection live. The visitor has seen the category.</w:t>
      </w:r>
    </w:p>
    <w:p>
      <w:pPr>
        <w:pStyle w:val="BodyText"/>
      </w:pPr>
      <w:r>
        <w:t xml:space="preserve">That is the one-week demo.</w:t>
      </w:r>
    </w:p>
    <w:p>
      <w:r>
        <w:pict>
          <v:rect style="width:0;height:1.5pt" o:hralign="center" o:hrstd="t" o:hr="t"/>
        </w:pict>
      </w:r>
    </w:p>
    <w:bookmarkEnd w:id="23"/>
    <w:bookmarkStart w:id="26" w:name="what-gets-built-in-seven-days"/>
    <w:p>
      <w:pPr>
        <w:pStyle w:val="Heading2"/>
      </w:pPr>
      <w:r>
        <w:t xml:space="preserve">What Gets Built in Seven Days</w:t>
      </w:r>
    </w:p>
    <w:bookmarkStart w:id="24" w:name="the-scope-constraint"/>
    <w:p>
      <w:pPr>
        <w:pStyle w:val="Heading3"/>
      </w:pPr>
      <w:r>
        <w:t xml:space="preserve">The Scope Constraint</w:t>
      </w:r>
    </w:p>
    <w:p>
      <w:pPr>
        <w:pStyle w:val="FirstParagraph"/>
      </w:pPr>
      <w:r>
        <w:t xml:space="preserve">Seven calendar days is not a full production build. What fits in seven days, with a senior team, using AI-accelerated tooling, is a coherent vertical slice of every layer — enough of each layer that the demo narrative above is a live operating system, not a mock.</w:t>
      </w:r>
    </w:p>
    <w:p>
      <w:pPr>
        <w:pStyle w:val="BodyText"/>
      </w:pPr>
      <w:r>
        <w:rPr>
          <w:bCs/>
          <w:b/>
        </w:rPr>
        <w:t xml:space="preserve">What is real in the demo:</w:t>
      </w:r>
      <w:r>
        <w:t xml:space="preserve"> </w:t>
      </w:r>
      <w:r>
        <w:t xml:space="preserve">- All six runtime vendor connections — live API calls to Anthropic, OpenAI, Salesforce, Cloudflare, Google, Uniphore with production credentials</w:t>
      </w:r>
      <w:r>
        <w:t xml:space="preserve"> </w:t>
      </w:r>
      <w:r>
        <w:t xml:space="preserve">- GSTI scoring engine running Les’s existing GSTI implementation against real task inputs</w:t>
      </w:r>
      <w:r>
        <w:t xml:space="preserve"> </w:t>
      </w:r>
      <w:r>
        <w:t xml:space="preserve">- Coordination Tax calculator running against seeded process event data</w:t>
      </w:r>
      <w:r>
        <w:t xml:space="preserve"> </w:t>
      </w:r>
      <w:r>
        <w:t xml:space="preserve">- UEF decision engine making real scoring decisions across all 8 dimensions</w:t>
      </w:r>
      <w:r>
        <w:t xml:space="preserve"> </w:t>
      </w:r>
      <w:r>
        <w:t xml:space="preserve">- Adapter Gateway with per-Boundary governance enforcement for three distinct jurisdictional Boundaries</w:t>
      </w:r>
      <w:r>
        <w:t xml:space="preserve"> </w:t>
      </w:r>
      <w:r>
        <w:t xml:space="preserve">- Dynamic Instruction Runtime with live injection triggered by signal-state changes</w:t>
      </w:r>
      <w:r>
        <w:t xml:space="preserve"> </w:t>
      </w:r>
      <w:r>
        <w:t xml:space="preserve">- Execution Economic Ledger in SQLite writing real LedgerRows</w:t>
      </w:r>
      <w:r>
        <w:t xml:space="preserve"> </w:t>
      </w:r>
      <w:r>
        <w:t xml:space="preserve">- rPotential integration — either against rPotential’s actual staging API if available, or against a FuzeBox-operated rPotential simulator running a realistic UoP library with 40+ skills and 200+ actors across 4 jurisdictions</w:t>
      </w:r>
      <w:r>
        <w:t xml:space="preserve"> </w:t>
      </w:r>
      <w:r>
        <w:t xml:space="preserve">- Governance Service producing signed evidence bundles in EU AI Act, GDPR, and SOC 2 formats</w:t>
      </w:r>
    </w:p>
    <w:p>
      <w:pPr>
        <w:pStyle w:val="BodyText"/>
      </w:pPr>
      <w:r>
        <w:rPr>
          <w:bCs/>
          <w:b/>
        </w:rPr>
        <w:t xml:space="preserve">What is simplified in the demo:</w:t>
      </w:r>
      <w:r>
        <w:t xml:space="preserve"> </w:t>
      </w:r>
      <w:r>
        <w:t xml:space="preserve">- The workforce data set is seeded with 4 jurisdictions (US, Germany, France, Singapore) rather than 14</w:t>
      </w:r>
      <w:r>
        <w:t xml:space="preserve"> </w:t>
      </w:r>
      <w:r>
        <w:t xml:space="preserve">- The skill catalog is 40 enterprise knowledge-worker skills rather than 600+</w:t>
      </w:r>
      <w:r>
        <w:t xml:space="preserve"> </w:t>
      </w:r>
      <w:r>
        <w:t xml:space="preserve">- The actor pool is 200 seeded actors rather than tens of thousands</w:t>
      </w:r>
      <w:r>
        <w:t xml:space="preserve"> </w:t>
      </w:r>
      <w:r>
        <w:t xml:space="preserve">- ClickHouse is swapped for SQLite (analytically sufficient for demo-scale volume)</w:t>
      </w:r>
      <w:r>
        <w:t xml:space="preserve"> </w:t>
      </w:r>
      <w:r>
        <w:t xml:space="preserve">- Kafka is swapped for an in-process event bus (operationally sufficient for single-node demo)</w:t>
      </w:r>
      <w:r>
        <w:t xml:space="preserve"> </w:t>
      </w:r>
      <w:r>
        <w:t xml:space="preserve">- Kubernetes is out of scope — the demo runs on docker-compose on a single VM or laptop</w:t>
      </w:r>
      <w:r>
        <w:t xml:space="preserve"> </w:t>
      </w:r>
      <w:r>
        <w:t xml:space="preserve">- Multi-region deployment is out of scope — demo runs single-region</w:t>
      </w:r>
      <w:r>
        <w:t xml:space="preserve"> </w:t>
      </w:r>
      <w:r>
        <w:t xml:space="preserve">- Some policy packs are scaffolded with placeholder rules rather than fully specified</w:t>
      </w:r>
    </w:p>
    <w:p>
      <w:pPr>
        <w:pStyle w:val="BodyText"/>
      </w:pPr>
      <w:r>
        <w:rPr>
          <w:bCs/>
          <w:b/>
        </w:rPr>
        <w:t xml:space="preserve">What is NOT in the demo:</w:t>
      </w:r>
      <w:r>
        <w:t xml:space="preserve"> </w:t>
      </w:r>
      <w:r>
        <w:t xml:space="preserve">- Production security hardening (the demo uses simple bearer tokens, not mTLS)</w:t>
      </w:r>
      <w:r>
        <w:t xml:space="preserve"> </w:t>
      </w:r>
      <w:r>
        <w:t xml:space="preserve">- Horizontal scaling beyond the single-node deployment</w:t>
      </w:r>
      <w:r>
        <w:t xml:space="preserve"> </w:t>
      </w:r>
      <w:r>
        <w:t xml:space="preserve">- High availability / failover</w:t>
      </w:r>
      <w:r>
        <w:t xml:space="preserve"> </w:t>
      </w:r>
      <w:r>
        <w:t xml:space="preserve">- Disaster recovery</w:t>
      </w:r>
      <w:r>
        <w:t xml:space="preserve"> </w:t>
      </w:r>
      <w:r>
        <w:t xml:space="preserve">- Production observability beyond local Grafana dashboards</w:t>
      </w:r>
    </w:p>
    <w:p>
      <w:pPr>
        <w:pStyle w:val="BodyText"/>
      </w:pPr>
      <w:r>
        <w:t xml:space="preserve">These simplifications do not affect the narrative. The visitor cannot tell the difference between SQLite and ClickHouse while watching a LedgerRow get written. The architecture is fully present, the decision logic is fully real, and every runtime vendor connection uses the same integration code that will ship into production.</w:t>
      </w:r>
    </w:p>
    <w:bookmarkEnd w:id="24"/>
    <w:bookmarkStart w:id="25" w:name="repository-structure"/>
    <w:p>
      <w:pPr>
        <w:pStyle w:val="Heading3"/>
      </w:pPr>
      <w:r>
        <w:t xml:space="preserve">Repository Structure</w:t>
      </w:r>
    </w:p>
    <w:p>
      <w:pPr>
        <w:pStyle w:val="SourceCode"/>
      </w:pPr>
      <w:r>
        <w:rPr>
          <w:rStyle w:val="VerbatimChar"/>
        </w:rPr>
        <w:t xml:space="preserve">aeos-demo/</w:t>
      </w:r>
      <w:r>
        <w:br/>
      </w:r>
      <w:r>
        <w:rPr>
          <w:rStyle w:val="VerbatimChar"/>
        </w:rPr>
        <w:t xml:space="preserve">├── README.md</w:t>
      </w:r>
      <w:r>
        <w:br/>
      </w:r>
      <w:r>
        <w:rPr>
          <w:rStyle w:val="VerbatimChar"/>
        </w:rPr>
        <w:t xml:space="preserve">├── DEMO_SCRIPT.md              (the 40-minute walkthrough)</w:t>
      </w:r>
      <w:r>
        <w:br/>
      </w:r>
      <w:r>
        <w:rPr>
          <w:rStyle w:val="VerbatimChar"/>
        </w:rPr>
        <w:t xml:space="preserve">├── docker-compose.yml          (stands up the whole system)</w:t>
      </w:r>
      <w:r>
        <w:br/>
      </w:r>
      <w:r>
        <w:rPr>
          <w:rStyle w:val="VerbatimChar"/>
        </w:rPr>
        <w:t xml:space="preserve">├── Makefile</w:t>
      </w:r>
      <w:r>
        <w:br/>
      </w:r>
      <w:r>
        <w:rPr>
          <w:rStyle w:val="VerbatimChar"/>
        </w:rPr>
        <w:t xml:space="preserve">├── .env.example</w:t>
      </w:r>
      <w:r>
        <w:br/>
      </w:r>
      <w:r>
        <w:rPr>
          <w:rStyle w:val="VerbatimChar"/>
        </w:rPr>
        <w:t xml:space="preserve">├── services/</w:t>
      </w:r>
      <w:r>
        <w:br/>
      </w:r>
      <w:r>
        <w:rPr>
          <w:rStyle w:val="VerbatimChar"/>
        </w:rPr>
        <w:t xml:space="preserve">│   ├── intent-classifier/      (Python / FastAPI)</w:t>
      </w:r>
      <w:r>
        <w:br/>
      </w:r>
      <w:r>
        <w:rPr>
          <w:rStyle w:val="VerbatimChar"/>
        </w:rPr>
        <w:t xml:space="preserve">│   ├── governance/             (Python / FastAPI)</w:t>
      </w:r>
      <w:r>
        <w:br/>
      </w:r>
      <w:r>
        <w:rPr>
          <w:rStyle w:val="VerbatimChar"/>
        </w:rPr>
        <w:t xml:space="preserve">│   ├── skills-authority/       (Python / FastAPI)</w:t>
      </w:r>
      <w:r>
        <w:br/>
      </w:r>
      <w:r>
        <w:rPr>
          <w:rStyle w:val="VerbatimChar"/>
        </w:rPr>
        <w:t xml:space="preserve">│   ├── signal-bus/             (TypeScript / Fastify)</w:t>
      </w:r>
      <w:r>
        <w:br/>
      </w:r>
      <w:r>
        <w:rPr>
          <w:rStyle w:val="VerbatimChar"/>
        </w:rPr>
        <w:t xml:space="preserve">│   ├── uef/                    (Go + existing GSTI engine embedded)</w:t>
      </w:r>
      <w:r>
        <w:br/>
      </w:r>
      <w:r>
        <w:rPr>
          <w:rStyle w:val="VerbatimChar"/>
        </w:rPr>
        <w:t xml:space="preserve">│   ├── adapter-gateway/        (Go)</w:t>
      </w:r>
      <w:r>
        <w:br/>
      </w:r>
      <w:r>
        <w:rPr>
          <w:rStyle w:val="VerbatimChar"/>
        </w:rPr>
        <w:t xml:space="preserve">│   ├── instruction-runtime/    (Go)</w:t>
      </w:r>
      <w:r>
        <w:br/>
      </w:r>
      <w:r>
        <w:rPr>
          <w:rStyle w:val="VerbatimChar"/>
        </w:rPr>
        <w:t xml:space="preserve">│   └── ledger/                 (Go + SQLite)</w:t>
      </w:r>
      <w:r>
        <w:br/>
      </w:r>
      <w:r>
        <w:rPr>
          <w:rStyle w:val="VerbatimChar"/>
        </w:rPr>
        <w:t xml:space="preserve">├── adapters/</w:t>
      </w:r>
      <w:r>
        <w:br/>
      </w:r>
      <w:r>
        <w:rPr>
          <w:rStyle w:val="VerbatimChar"/>
        </w:rPr>
        <w:t xml:space="preserve">│   ├── anthropic/              (Go)</w:t>
      </w:r>
      <w:r>
        <w:br/>
      </w:r>
      <w:r>
        <w:rPr>
          <w:rStyle w:val="VerbatimChar"/>
        </w:rPr>
        <w:t xml:space="preserve">│   ├── openai/                 (Go)</w:t>
      </w:r>
      <w:r>
        <w:br/>
      </w:r>
      <w:r>
        <w:rPr>
          <w:rStyle w:val="VerbatimChar"/>
        </w:rPr>
        <w:t xml:space="preserve">│   ├── salesforce/             (Go)</w:t>
      </w:r>
      <w:r>
        <w:br/>
      </w:r>
      <w:r>
        <w:rPr>
          <w:rStyle w:val="VerbatimChar"/>
        </w:rPr>
        <w:t xml:space="preserve">│   ├── cloudflare/             (Go)</w:t>
      </w:r>
      <w:r>
        <w:br/>
      </w:r>
      <w:r>
        <w:rPr>
          <w:rStyle w:val="VerbatimChar"/>
        </w:rPr>
        <w:t xml:space="preserve">│   ├── google/                 (Go)</w:t>
      </w:r>
      <w:r>
        <w:br/>
      </w:r>
      <w:r>
        <w:rPr>
          <w:rStyle w:val="VerbatimChar"/>
        </w:rPr>
        <w:t xml:space="preserve">│   ├── uniphore/               (Go)</w:t>
      </w:r>
      <w:r>
        <w:br/>
      </w:r>
      <w:r>
        <w:rPr>
          <w:rStyle w:val="VerbatimChar"/>
        </w:rPr>
        <w:t xml:space="preserve">│   └── human/                  (Go)</w:t>
      </w:r>
      <w:r>
        <w:br/>
      </w:r>
      <w:r>
        <w:rPr>
          <w:rStyle w:val="VerbatimChar"/>
        </w:rPr>
        <w:t xml:space="preserve">├── rpotential-simulator/       (TypeScript / Fastify — stands in for rPotential staging if unavailable)</w:t>
      </w:r>
      <w:r>
        <w:br/>
      </w:r>
      <w:r>
        <w:rPr>
          <w:rStyle w:val="VerbatimChar"/>
        </w:rPr>
        <w:t xml:space="preserve">├── dashboard/                  (TypeScript / React — the visual control plane)</w:t>
      </w:r>
      <w:r>
        <w:br/>
      </w:r>
      <w:r>
        <w:rPr>
          <w:rStyle w:val="VerbatimChar"/>
        </w:rPr>
        <w:t xml:space="preserve">├── shared/</w:t>
      </w:r>
      <w:r>
        <w:br/>
      </w:r>
      <w:r>
        <w:rPr>
          <w:rStyle w:val="VerbatimChar"/>
        </w:rPr>
        <w:t xml:space="preserve">│   ├── schema/                 (Protobuf definitions shared across services)</w:t>
      </w:r>
      <w:r>
        <w:br/>
      </w:r>
      <w:r>
        <w:rPr>
          <w:rStyle w:val="VerbatimChar"/>
        </w:rPr>
        <w:t xml:space="preserve">│   ├── proto/                  (generated bindings)</w:t>
      </w:r>
      <w:r>
        <w:br/>
      </w:r>
      <w:r>
        <w:rPr>
          <w:rStyle w:val="VerbatimChar"/>
        </w:rPr>
        <w:t xml:space="preserve">│   └── testdata/               (seeded tenants, skills, actors, policy packs)</w:t>
      </w:r>
      <w:r>
        <w:br/>
      </w:r>
      <w:r>
        <w:rPr>
          <w:rStyle w:val="VerbatimChar"/>
        </w:rPr>
        <w:t xml:space="preserve">├── seeds/</w:t>
      </w:r>
      <w:r>
        <w:br/>
      </w:r>
      <w:r>
        <w:rPr>
          <w:rStyle w:val="VerbatimChar"/>
        </w:rPr>
        <w:t xml:space="preserve">│   ├── tenants.json            (demo enterprise tenant with realistic profile)</w:t>
      </w:r>
      <w:r>
        <w:br/>
      </w:r>
      <w:r>
        <w:rPr>
          <w:rStyle w:val="VerbatimChar"/>
        </w:rPr>
        <w:t xml:space="preserve">│   ├── skills.json             (40 knowledge-worker skills)</w:t>
      </w:r>
      <w:r>
        <w:br/>
      </w:r>
      <w:r>
        <w:rPr>
          <w:rStyle w:val="VerbatimChar"/>
        </w:rPr>
        <w:t xml:space="preserve">│   ├── actors.json             (200 actors across 4 jurisdictions)</w:t>
      </w:r>
      <w:r>
        <w:br/>
      </w:r>
      <w:r>
        <w:rPr>
          <w:rStyle w:val="VerbatimChar"/>
        </w:rPr>
        <w:t xml:space="preserve">│   ├── policy-packs/           (EU AI Act, GDPR, SOC 2, Germany works council, France labor code)</w:t>
      </w:r>
      <w:r>
        <w:br/>
      </w:r>
      <w:r>
        <w:rPr>
          <w:rStyle w:val="VerbatimChar"/>
        </w:rPr>
        <w:t xml:space="preserve">│   └── process-events.json     (seeded event stream for Coordination Tax calculation)</w:t>
      </w:r>
      <w:r>
        <w:br/>
      </w:r>
      <w:r>
        <w:rPr>
          <w:rStyle w:val="VerbatimChar"/>
        </w:rPr>
        <w:t xml:space="preserve">└── docs/</w:t>
      </w:r>
      <w:r>
        <w:br/>
      </w:r>
      <w:r>
        <w:rPr>
          <w:rStyle w:val="VerbatimChar"/>
        </w:rPr>
        <w:t xml:space="preserve">    ├── architecture.md         (the Full Architecture Document)</w:t>
      </w:r>
      <w:r>
        <w:br/>
      </w:r>
      <w:r>
        <w:rPr>
          <w:rStyle w:val="VerbatimChar"/>
        </w:rPr>
        <w:t xml:space="preserve">    ├── runbook.md              (how to start, stop, demo, reset)</w:t>
      </w:r>
      <w:r>
        <w:br/>
      </w:r>
      <w:r>
        <w:rPr>
          <w:rStyle w:val="VerbatimChar"/>
        </w:rPr>
        <w:t xml:space="preserve">    └── api/                    (generated OpenAPI and gRPC docs)</w:t>
      </w:r>
    </w:p>
    <w:p>
      <w:r>
        <w:pict>
          <v:rect style="width:0;height:1.5pt" o:hralign="center" o:hrstd="t" o:hr="t"/>
        </w:pict>
      </w:r>
    </w:p>
    <w:bookmarkEnd w:id="25"/>
    <w:bookmarkEnd w:id="26"/>
    <w:bookmarkStart w:id="34" w:name="the-seven-day-build-plan"/>
    <w:p>
      <w:pPr>
        <w:pStyle w:val="Heading2"/>
      </w:pPr>
      <w:r>
        <w:t xml:space="preserve">The Seven-Day Build Plan</w:t>
      </w:r>
    </w:p>
    <w:bookmarkStart w:id="27" w:name="day-1-monday-foundation"/>
    <w:p>
      <w:pPr>
        <w:pStyle w:val="Heading3"/>
      </w:pPr>
      <w:r>
        <w:t xml:space="preserve">Day 1 (Monday) — Foundation</w:t>
      </w:r>
    </w:p>
    <w:p>
      <w:pPr>
        <w:pStyle w:val="FirstParagraph"/>
      </w:pPr>
      <w:r>
        <w:t xml:space="preserve">Morning: repository scaffolding, docker-compose skeleton, canonical Protobuf schema finalized, bindings generated for Go and TypeScript. Services stubbed with health endpoints only.</w:t>
      </w:r>
    </w:p>
    <w:p>
      <w:pPr>
        <w:pStyle w:val="BodyText"/>
      </w:pPr>
      <w:r>
        <w:t xml:space="preserve">Afternoon: Skills Authority with Postgres backing, seeded with 40 skills. Signal Bus with in-memory + Redis caching. rPotential simulator running with seeded workforce data for the demo tenant (200 actors, 4 jurisdictions).</w:t>
      </w:r>
    </w:p>
    <w:p>
      <w:pPr>
        <w:pStyle w:val="BodyText"/>
      </w:pPr>
      <w:r>
        <w:t xml:space="preserve">End-of-day demo: a curl against Skills Authority returns the full skill catalog. A curl against Signal Bus returns live workforce signals. The rPotential simulator responds to writeback POSTs.</w:t>
      </w:r>
    </w:p>
    <w:bookmarkEnd w:id="27"/>
    <w:bookmarkStart w:id="28" w:name="X398c1bba2908140bb106e6b58d4683549716bd3"/>
    <w:p>
      <w:pPr>
        <w:pStyle w:val="Heading3"/>
      </w:pPr>
      <w:r>
        <w:t xml:space="preserve">Day 2 (Tuesday) — The UEF with GSTI and Coordination Tax</w:t>
      </w:r>
    </w:p>
    <w:p>
      <w:pPr>
        <w:pStyle w:val="FirstParagraph"/>
      </w:pPr>
      <w:r>
        <w:t xml:space="preserve">Morning: the UEF Service built in Go, with Les’s existing GSTI engine compiled into it (either reimplemented in Go from the Python source as a straight port, or invoked via gRPC from the Python service — the architectural choice is the lead engineer’s, both are acceptable). Coordination Tax calculator integrated (similarly — port to Go or wrap the existing Python via gRPC).</w:t>
      </w:r>
    </w:p>
    <w:p>
      <w:pPr>
        <w:pStyle w:val="BodyText"/>
      </w:pPr>
      <w:r>
        <w:t xml:space="preserve">Afternoon: the UEF’s 8-dimensional scoring composed. All candidate-path enumeration working. Justification generator rendering structured reasoning. Property-based tests passing on the scoring invariants.</w:t>
      </w:r>
    </w:p>
    <w:p>
      <w:pPr>
        <w:pStyle w:val="BodyText"/>
      </w:pPr>
      <w:r>
        <w:t xml:space="preserve">End-of-day demo: a curl against</w:t>
      </w:r>
      <w:r>
        <w:t xml:space="preserve"> </w:t>
      </w:r>
      <w:r>
        <w:rPr>
          <w:rStyle w:val="VerbatimChar"/>
        </w:rPr>
        <w:t xml:space="preserve">/uef/decide</w:t>
      </w:r>
      <w:r>
        <w:t xml:space="preserve"> </w:t>
      </w:r>
      <w:r>
        <w:t xml:space="preserve">with a seeded task returns a ScoredPath with full justification and the top-3 alternate paths.</w:t>
      </w:r>
    </w:p>
    <w:bookmarkEnd w:id="28"/>
    <w:bookmarkStart w:id="29" w:name="X0292d305643402cc93fa07e995fb305c26ba655"/>
    <w:p>
      <w:pPr>
        <w:pStyle w:val="Heading3"/>
      </w:pPr>
      <w:r>
        <w:t xml:space="preserve">Day 3 (Wednesday) — Six Runtime Adapters Live</w:t>
      </w:r>
    </w:p>
    <w:p>
      <w:pPr>
        <w:pStyle w:val="FirstParagraph"/>
      </w:pPr>
      <w:r>
        <w:t xml:space="preserve">Morning: Anthropic adapter with real Messages API integration. OpenAI adapter with real Responses API integration. Both tested against production endpoints with test API keys.</w:t>
      </w:r>
    </w:p>
    <w:p>
      <w:pPr>
        <w:pStyle w:val="BodyText"/>
      </w:pPr>
      <w:r>
        <w:t xml:space="preserve">Afternoon: Salesforce adapter against Agentforce sandbox. Cloudflare adapter against Workers AI. Google adapter against Vertex. Uniphore adapter against its published MCP endpoint (or mocked if credentials unavailable, with the mock flagged explicitly in the demo). Human adapter with simulated completion queue.</w:t>
      </w:r>
    </w:p>
    <w:p>
      <w:pPr>
        <w:pStyle w:val="BodyText"/>
      </w:pPr>
      <w:r>
        <w:t xml:space="preserve">End-of-day demo: a curl against</w:t>
      </w:r>
      <w:r>
        <w:t xml:space="preserve"> </w:t>
      </w:r>
      <w:r>
        <w:rPr>
          <w:rStyle w:val="VerbatimChar"/>
        </w:rPr>
        <w:t xml:space="preserve">/adapter/dispatch</w:t>
      </w:r>
      <w:r>
        <w:t xml:space="preserve"> </w:t>
      </w:r>
      <w:r>
        <w:t xml:space="preserve">with each of the seven paths produces a real response. The dashboard panel showing six-runtime status goes green.</w:t>
      </w:r>
    </w:p>
    <w:bookmarkEnd w:id="29"/>
    <w:bookmarkStart w:id="30" w:name="X0eac45f6cdb3d2edac2b75d029ac8c368fbcb9a"/>
    <w:p>
      <w:pPr>
        <w:pStyle w:val="Heading3"/>
      </w:pPr>
      <w:r>
        <w:t xml:space="preserve">Day 4 (Thursday) — The Adapter Gateway with Per-Boundary Governance</w:t>
      </w:r>
    </w:p>
    <w:p>
      <w:pPr>
        <w:pStyle w:val="FirstParagraph"/>
      </w:pPr>
      <w:r>
        <w:t xml:space="preserve">Morning: Adapter Gateway composing UEF decisions into dispatches through the right adapter. Boundary configuration loaded from Postgres with three distinct Boundaries per vendor for the demo tenant (US regulated, Germany EU AI Act, Singapore APAC data localization). Pre-dispatch validation middleware enforcing allowed/excluded skills, data residency, and policy pack requirements.</w:t>
      </w:r>
    </w:p>
    <w:p>
      <w:pPr>
        <w:pStyle w:val="BodyText"/>
      </w:pPr>
      <w:r>
        <w:t xml:space="preserve">Afternoon: Governance Service with three active policy packs. Signed evidence bundle generation using Ed25519. The cross-jurisdictional dispatch case working — same task submitted with three different tenant-jurisdiction combinations produces three different routings and three different signed attestations.</w:t>
      </w:r>
    </w:p>
    <w:p>
      <w:pPr>
        <w:pStyle w:val="BodyText"/>
      </w:pPr>
      <w:r>
        <w:t xml:space="preserve">End-of-day demo: the cross-jurisdictional dispatch scenario runs end-to-end. Three attestations verified against the FuzeBox public key.</w:t>
      </w:r>
    </w:p>
    <w:bookmarkEnd w:id="30"/>
    <w:bookmarkStart w:id="31" w:name="X0fe733cdf24855017f0b64a92d96262bee75f84"/>
    <w:p>
      <w:pPr>
        <w:pStyle w:val="Heading3"/>
      </w:pPr>
      <w:r>
        <w:t xml:space="preserve">Day 5 (Friday) — The Ledger with rPotential Writeback</w:t>
      </w:r>
    </w:p>
    <w:p>
      <w:pPr>
        <w:pStyle w:val="FirstParagraph"/>
      </w:pPr>
      <w:r>
        <w:t xml:space="preserve">Morning: Ledger Service with SQLite storage. LedgerRow append working. Three-delta computation working. Derived metrics (UCS, SY, SER, EROI, SDD, HPI, HLR) computed from seeded history.</w:t>
      </w:r>
    </w:p>
    <w:p>
      <w:pPr>
        <w:pStyle w:val="BodyText"/>
      </w:pPr>
      <w:r>
        <w:t xml:space="preserve">Afternoon: writeback to Signal Bus to rPotential simulator via the joint-IP writeback contract. End-to-end closed-loop verified — a new execution updates rPotential state, and a subsequent task’s UEF decision is visibly different because of the updated signals.</w:t>
      </w:r>
    </w:p>
    <w:p>
      <w:pPr>
        <w:pStyle w:val="BodyText"/>
      </w:pPr>
      <w:r>
        <w:t xml:space="preserve">End-of-day demo: the closed loop runs live. Dashboard shows rPotential state changing in response to execution outcomes within 500ms.</w:t>
      </w:r>
    </w:p>
    <w:bookmarkEnd w:id="31"/>
    <w:bookmarkStart w:id="32" w:name="X9ea91adcd8c3c8d5e12da781ba85db635d593e2"/>
    <w:p>
      <w:pPr>
        <w:pStyle w:val="Heading3"/>
      </w:pPr>
      <w:r>
        <w:t xml:space="preserve">Day 6 (Saturday) — The Dynamic Instruction Runtime</w:t>
      </w:r>
    </w:p>
    <w:p>
      <w:pPr>
        <w:pStyle w:val="FirstParagraph"/>
      </w:pPr>
      <w:r>
        <w:t xml:space="preserve">Morning: Instruction Runtime with three trigger types implemented — workforce state transitions, policy pack updates, tenant overrides. Injection mechanisms for Anthropic (revised system prompts), OpenAI (modified function schemas), Google (tuned grounding), and the other three runtimes.</w:t>
      </w:r>
    </w:p>
    <w:p>
      <w:pPr>
        <w:pStyle w:val="BodyText"/>
      </w:pPr>
      <w:r>
        <w:t xml:space="preserve">Afternoon: the mid-execution injection case working — a signal state change during an in-flight task triggers a prompt modification, visible on the dashboard with before/after rendering.</w:t>
      </w:r>
    </w:p>
    <w:p>
      <w:pPr>
        <w:pStyle w:val="BodyText"/>
      </w:pPr>
      <w:r>
        <w:t xml:space="preserve">End-of-day demo: the adversarial-governance task from the demo narrative runs. Signal state drops below threshold mid-execution. Instruction Runtime injects a revised constraint. The dashboard shows the injection happening live.</w:t>
      </w:r>
    </w:p>
    <w:bookmarkEnd w:id="32"/>
    <w:bookmarkStart w:id="33" w:name="day-7-sunday-dashboard-and-final-polish"/>
    <w:p>
      <w:pPr>
        <w:pStyle w:val="Heading3"/>
      </w:pPr>
      <w:r>
        <w:t xml:space="preserve">Day 7 (Sunday) — Dashboard and Final Polish</w:t>
      </w:r>
    </w:p>
    <w:p>
      <w:pPr>
        <w:pStyle w:val="FirstParagraph"/>
      </w:pPr>
      <w:r>
        <w:t xml:space="preserve">Morning: the React dashboard built to match the demo narrative. Six-runtime status panel with live latency. GSTI score table with 8-dimensional breakdown. Coordination Tax panel. Ledger history. rPotential state panel. Signed attestation viewer.</w:t>
      </w:r>
    </w:p>
    <w:p>
      <w:pPr>
        <w:pStyle w:val="BodyText"/>
      </w:pPr>
      <w:r>
        <w:t xml:space="preserve">Afternoon: the 40-minute DEMO_SCRIPT.md written and rehearsed. All four demo scenarios running cleanly end-to-end without manual intervention.</w:t>
      </w:r>
      <w:r>
        <w:t xml:space="preserve"> </w:t>
      </w:r>
      <w:r>
        <w:rPr>
          <w:rStyle w:val="VerbatimChar"/>
        </w:rPr>
        <w:t xml:space="preserve">docker compose up</w:t>
      </w:r>
      <w:r>
        <w:t xml:space="preserve"> </w:t>
      </w:r>
      <w:r>
        <w:t xml:space="preserve">on a fresh clone produces the running system in under three minutes. Runbook written.</w:t>
      </w:r>
    </w:p>
    <w:p>
      <w:pPr>
        <w:pStyle w:val="BodyText"/>
      </w:pPr>
      <w:r>
        <w:t xml:space="preserve">End of Day 7: the demo is ready.</w:t>
      </w:r>
    </w:p>
    <w:p>
      <w:r>
        <w:pict>
          <v:rect style="width:0;height:1.5pt" o:hralign="center" o:hrstd="t" o:hr="t"/>
        </w:pict>
      </w:r>
    </w:p>
    <w:bookmarkEnd w:id="33"/>
    <w:bookmarkEnd w:id="34"/>
    <w:bookmarkStart w:id="39" w:name="the-four-demo-scenarios-in-detail"/>
    <w:p>
      <w:pPr>
        <w:pStyle w:val="Heading2"/>
      </w:pPr>
      <w:r>
        <w:t xml:space="preserve">The Four Demo Scenarios in Detail</w:t>
      </w:r>
    </w:p>
    <w:bookmarkStart w:id="35" w:name="X322545d5cc72abc2022664e23f310b49986864d"/>
    <w:p>
      <w:pPr>
        <w:pStyle w:val="Heading3"/>
      </w:pPr>
      <w:r>
        <w:t xml:space="preserve">Scenario 1 — The Enterprise Workforce Transformation Task</w:t>
      </w:r>
    </w:p>
    <w:p>
      <w:pPr>
        <w:pStyle w:val="FirstParagraph"/>
      </w:pPr>
      <w:r>
        <w:rPr>
          <w:bCs/>
          <w:b/>
        </w:rPr>
        <w:t xml:space="preserve">The task:</w:t>
      </w:r>
      <w:r>
        <w:t xml:space="preserve"> </w:t>
      </w:r>
      <w:r>
        <w:t xml:space="preserve">“</w:t>
      </w:r>
      <w:r>
        <w:t xml:space="preserve">Draft the initial transformation impact assessment for our EMEA regulatory compliance function based on current workforce state and propose a recommended three-quarter transition plan with preserved human strategic capability above threshold.</w:t>
      </w:r>
      <w:r>
        <w:t xml:space="preserve">”</w:t>
      </w:r>
    </w:p>
    <w:p>
      <w:pPr>
        <w:pStyle w:val="BodyText"/>
      </w:pPr>
      <w:r>
        <w:rPr>
          <w:bCs/>
          <w:b/>
        </w:rPr>
        <w:t xml:space="preserve">The context:</w:t>
      </w:r>
      <w:r>
        <w:t xml:space="preserve"> </w:t>
      </w:r>
      <w:r>
        <w:t xml:space="preserve">Tenant is the demo Fortune 500 enterprise. Jurisdiction Germany. Regulatory class EU AI Act Article 14 high-risk. Workforce impact scope: function-wide (affects ~450 compliance professionals). Explainability required. Works-council notification required.</w:t>
      </w:r>
    </w:p>
    <w:p>
      <w:pPr>
        <w:pStyle w:val="BodyText"/>
      </w:pPr>
      <w:r>
        <w:rPr>
          <w:bCs/>
          <w:b/>
        </w:rPr>
        <w:t xml:space="preserve">The visible decision:</w:t>
      </w:r>
      <w:r>
        <w:t xml:space="preserve"> </w:t>
      </w:r>
      <w:r>
        <w:t xml:space="preserve">14 candidate paths scored. Winner is hybrid Anthropic + Google Vertex + senior_compliance_lead. GSTI 0.58 (deliberative work, strategic skill, medium data availability, elevated risk). Coordination Tax $47,200/month weighting the hybrid path modestly. Governance score favors the hybrid because of Article 14’s human-signoff requirement. Economic value positive. Risk penalty manageable because of the hybrid’s human oversight.</w:t>
      </w:r>
    </w:p>
    <w:p>
      <w:pPr>
        <w:pStyle w:val="BodyText"/>
      </w:pPr>
      <w:r>
        <w:rPr>
          <w:bCs/>
          <w:b/>
        </w:rPr>
        <w:t xml:space="preserve">The execution:</w:t>
      </w:r>
      <w:r>
        <w:t xml:space="preserve"> </w:t>
      </w:r>
      <w:r>
        <w:t xml:space="preserve">three concurrent streams. Anthropic produces the regulatory reasoning. Google Vertex analyzes uploaded supporting exhibits (multi-modal). Human Adapter simulates the compliance lead’s strategic signoff. All three compose into a unified deliverable.</w:t>
      </w:r>
    </w:p>
    <w:p>
      <w:pPr>
        <w:pStyle w:val="BodyText"/>
      </w:pPr>
      <w:r>
        <w:rPr>
          <w:bCs/>
          <w:b/>
        </w:rPr>
        <w:t xml:space="preserve">The ledger:</w:t>
      </w:r>
      <w:r>
        <w:t xml:space="preserve"> </w:t>
      </w:r>
      <w:r>
        <w:t xml:space="preserve">cost roughly $12.40 for agent components plus notional $85/hour for simulated human time. Latency 45 seconds for the full hybrid path. Deltas: gsti_delta +0.04 (strategic skill preserved), uop_delta +0.03 (compliance lead’s readiness reinforced), coordination_delta -0.08 (friction was lower than forecast because the hybrid worked well).</w:t>
      </w:r>
    </w:p>
    <w:p>
      <w:pPr>
        <w:pStyle w:val="BodyText"/>
      </w:pPr>
      <w:r>
        <w:rPr>
          <w:bCs/>
          <w:b/>
        </w:rPr>
        <w:t xml:space="preserve">The attestation:</w:t>
      </w:r>
      <w:r>
        <w:t xml:space="preserve"> </w:t>
      </w:r>
      <w:r>
        <w:t xml:space="preserve">signed EU AI Act Article 14 evidence bundle plus Germany works-council notification artifact, both cryptographically signed.</w:t>
      </w:r>
    </w:p>
    <w:bookmarkEnd w:id="35"/>
    <w:bookmarkStart w:id="36" w:name="X34a9529652fbd2c55bc9a8f92d20713fe2b30a9"/>
    <w:p>
      <w:pPr>
        <w:pStyle w:val="Heading3"/>
      </w:pPr>
      <w:r>
        <w:t xml:space="preserve">Scenario 2 — The High-Throughput Low-Risk Task</w:t>
      </w:r>
    </w:p>
    <w:p>
      <w:pPr>
        <w:pStyle w:val="FirstParagraph"/>
      </w:pPr>
      <w:r>
        <w:rPr>
          <w:bCs/>
          <w:b/>
        </w:rPr>
        <w:t xml:space="preserve">The task:</w:t>
      </w:r>
      <w:r>
        <w:t xml:space="preserve"> </w:t>
      </w:r>
      <w:r>
        <w:t xml:space="preserve">“</w:t>
      </w:r>
      <w:r>
        <w:t xml:space="preserve">Categorize these 12,000 historical customer service transcripts against our taxonomy of transformation readiness indicators.</w:t>
      </w:r>
      <w:r>
        <w:t xml:space="preserve">”</w:t>
      </w:r>
    </w:p>
    <w:p>
      <w:pPr>
        <w:pStyle w:val="BodyText"/>
      </w:pPr>
      <w:r>
        <w:rPr>
          <w:bCs/>
          <w:b/>
        </w:rPr>
        <w:t xml:space="preserve">The visible decision:</w:t>
      </w:r>
      <w:r>
        <w:t xml:space="preserve"> </w:t>
      </w:r>
      <w:r>
        <w:t xml:space="preserve">UEF routes to pure-agent path — specifically OpenAI via AgentKit — because GSTI is high (0.81, low judgment, low variability, high frequency, high data availability, low risk), Coordination Tax is low (no handoffs), economic value overwhelms the small risk penalty, and the task falls in the AI-Primary classification band.</w:t>
      </w:r>
    </w:p>
    <w:p>
      <w:pPr>
        <w:pStyle w:val="BodyText"/>
      </w:pPr>
      <w:r>
        <w:rPr>
          <w:bCs/>
          <w:b/>
        </w:rPr>
        <w:t xml:space="preserve">The purpose in the demo:</w:t>
      </w:r>
      <w:r>
        <w:t xml:space="preserve"> </w:t>
      </w:r>
      <w:r>
        <w:t xml:space="preserve">shows the system is not biased toward hybrid paths. When the work genuinely suits AI-only execution, FuzeBox routes accordingly. The algorithm is not ideological.</w:t>
      </w:r>
    </w:p>
    <w:bookmarkEnd w:id="36"/>
    <w:bookmarkStart w:id="37" w:name="X1986ea8af2884806d7154c1f2d95832b94478d9"/>
    <w:p>
      <w:pPr>
        <w:pStyle w:val="Heading3"/>
      </w:pPr>
      <w:r>
        <w:t xml:space="preserve">Scenario 3 — The Cross-Jurisdictional Simultaneous Execution</w:t>
      </w:r>
    </w:p>
    <w:p>
      <w:pPr>
        <w:pStyle w:val="FirstParagraph"/>
      </w:pPr>
      <w:r>
        <w:rPr>
          <w:bCs/>
          <w:b/>
        </w:rPr>
        <w:t xml:space="preserve">The task:</w:t>
      </w:r>
      <w:r>
        <w:t xml:space="preserve"> </w:t>
      </w:r>
      <w:r>
        <w:t xml:space="preserve">the same regulatory filing preparation submitted with three different tenant-jurisdiction combinations — Germany, France, Singapore.</w:t>
      </w:r>
    </w:p>
    <w:p>
      <w:pPr>
        <w:pStyle w:val="BodyText"/>
      </w:pPr>
      <w:r>
        <w:rPr>
          <w:bCs/>
          <w:b/>
        </w:rPr>
        <w:t xml:space="preserve">The visible decisions:</w:t>
      </w:r>
      <w:r>
        <w:t xml:space="preserve"> </w:t>
      </w:r>
      <w:r>
        <w:t xml:space="preserve">three different ScoredPaths because three different Boundaries apply three different policy packs. Germany routes to Anthropic EU-resident with works-council notification. France routes to Google Vertex EU with AI Act high-risk compliance and French labor code enforcement. Singapore routes to Cloudflare Workers AI with APAC data localization. Three executions run in parallel. One unified signed cross-jurisdictional attestation at the end.</w:t>
      </w:r>
    </w:p>
    <w:p>
      <w:pPr>
        <w:pStyle w:val="BodyText"/>
      </w:pPr>
      <w:r>
        <w:rPr>
          <w:bCs/>
          <w:b/>
        </w:rPr>
        <w:t xml:space="preserve">The purpose:</w:t>
      </w:r>
      <w:r>
        <w:t xml:space="preserve"> </w:t>
      </w:r>
      <w:r>
        <w:t xml:space="preserve">demonstrates that per-Boundary governance actually works. Same vendor code paths, three completely different governance configurations enforced by FuzeBox in the middle.</w:t>
      </w:r>
    </w:p>
    <w:bookmarkEnd w:id="37"/>
    <w:bookmarkStart w:id="38" w:name="Xb5391d8f4429cc44b7e3ee0e0ffe6a5926fd72a"/>
    <w:p>
      <w:pPr>
        <w:pStyle w:val="Heading3"/>
      </w:pPr>
      <w:r>
        <w:t xml:space="preserve">Scenario 4 — The Adversarial Governance Path</w:t>
      </w:r>
    </w:p>
    <w:p>
      <w:pPr>
        <w:pStyle w:val="FirstParagraph"/>
      </w:pPr>
      <w:r>
        <w:rPr>
          <w:bCs/>
          <w:b/>
        </w:rPr>
        <w:t xml:space="preserve">The task:</w:t>
      </w:r>
      <w:r>
        <w:t xml:space="preserve"> </w:t>
      </w:r>
      <w:r>
        <w:t xml:space="preserve">deliberately constructed to push the system toward an edge case — high risk, strategic skill on an already-drifting trajectory, works-council sensitive, the previous three executions in this session have pushed GSTI and UoP into trigger territory.</w:t>
      </w:r>
    </w:p>
    <w:p>
      <w:pPr>
        <w:pStyle w:val="BodyText"/>
      </w:pPr>
      <w:r>
        <w:rPr>
          <w:bCs/>
          <w:b/>
        </w:rPr>
        <w:t xml:space="preserve">The visible intervention:</w:t>
      </w:r>
      <w:r>
        <w:t xml:space="preserve"> </w:t>
      </w:r>
      <w:r>
        <w:t xml:space="preserve">the Dynamic Instruction Runtime fires mid-execution. The signal change triggers a revised system prompt injection into the running Anthropic execution. The dashboard shows the original prompt, the injection, the revised prompt, and the justification — the Instruction Runtime detected that signal state changed while the execution was in flight and applied the enterprise-configured trigger.</w:t>
      </w:r>
    </w:p>
    <w:p>
      <w:pPr>
        <w:pStyle w:val="BodyText"/>
      </w:pPr>
      <w:r>
        <w:rPr>
          <w:bCs/>
          <w:b/>
        </w:rPr>
        <w:t xml:space="preserve">The purpose:</w:t>
      </w:r>
      <w:r>
        <w:t xml:space="preserve"> </w:t>
      </w:r>
      <w:r>
        <w:t xml:space="preserve">proves FuzeBox is a control system, not a routing layer. The runtimes run differently inside FuzeBox than they do outside because the prompts and constraints they receive are modulated by live workforce state.</w:t>
      </w:r>
    </w:p>
    <w:p>
      <w:r>
        <w:pict>
          <v:rect style="width:0;height:1.5pt" o:hralign="center" o:hrstd="t" o:hr="t"/>
        </w:pict>
      </w:r>
    </w:p>
    <w:bookmarkEnd w:id="38"/>
    <w:bookmarkEnd w:id="39"/>
    <w:bookmarkStart w:id="40" w:name="hardware-and-infrastructure"/>
    <w:p>
      <w:pPr>
        <w:pStyle w:val="Heading2"/>
      </w:pPr>
      <w:r>
        <w:t xml:space="preserve">Hardware and Infrastructure</w:t>
      </w:r>
    </w:p>
    <w:p>
      <w:pPr>
        <w:pStyle w:val="FirstParagraph"/>
      </w:pPr>
      <w:r>
        <w:t xml:space="preserve">The demo runs on a single VM or laptop. Minimum spec:</w:t>
      </w:r>
    </w:p>
    <w:p>
      <w:pPr>
        <w:numPr>
          <w:ilvl w:val="0"/>
          <w:numId w:val="1001"/>
        </w:numPr>
        <w:pStyle w:val="Compact"/>
      </w:pPr>
      <w:r>
        <w:t xml:space="preserve">8 CPU cores</w:t>
      </w:r>
    </w:p>
    <w:p>
      <w:pPr>
        <w:numPr>
          <w:ilvl w:val="0"/>
          <w:numId w:val="1001"/>
        </w:numPr>
        <w:pStyle w:val="Compact"/>
      </w:pPr>
      <w:r>
        <w:t xml:space="preserve">32 GB RAM</w:t>
      </w:r>
    </w:p>
    <w:p>
      <w:pPr>
        <w:numPr>
          <w:ilvl w:val="0"/>
          <w:numId w:val="1001"/>
        </w:numPr>
        <w:pStyle w:val="Compact"/>
      </w:pPr>
      <w:r>
        <w:t xml:space="preserve">100 GB SSD</w:t>
      </w:r>
    </w:p>
    <w:p>
      <w:pPr>
        <w:numPr>
          <w:ilvl w:val="0"/>
          <w:numId w:val="1001"/>
        </w:numPr>
        <w:pStyle w:val="Compact"/>
      </w:pPr>
      <w:r>
        <w:t xml:space="preserve">Docker Desktop or docker-compose installed</w:t>
      </w:r>
    </w:p>
    <w:p>
      <w:pPr>
        <w:numPr>
          <w:ilvl w:val="0"/>
          <w:numId w:val="1001"/>
        </w:numPr>
        <w:pStyle w:val="Compact"/>
      </w:pPr>
      <w:r>
        <w:t xml:space="preserve">Outbound internet access to all six runtime vendor APIs</w:t>
      </w:r>
    </w:p>
    <w:p>
      <w:pPr>
        <w:pStyle w:val="FirstParagraph"/>
      </w:pPr>
      <w:r>
        <w:t xml:space="preserve">Production credentials required in advance:</w:t>
      </w:r>
    </w:p>
    <w:p>
      <w:pPr>
        <w:numPr>
          <w:ilvl w:val="0"/>
          <w:numId w:val="1002"/>
        </w:numPr>
        <w:pStyle w:val="Compact"/>
      </w:pPr>
      <w:r>
        <w:t xml:space="preserve">Anthropic API key (existing FuzeBox account)</w:t>
      </w:r>
    </w:p>
    <w:p>
      <w:pPr>
        <w:numPr>
          <w:ilvl w:val="0"/>
          <w:numId w:val="1002"/>
        </w:numPr>
        <w:pStyle w:val="Compact"/>
      </w:pPr>
      <w:r>
        <w:t xml:space="preserve">OpenAI API key (existing FuzeBox account)</w:t>
      </w:r>
    </w:p>
    <w:p>
      <w:pPr>
        <w:numPr>
          <w:ilvl w:val="0"/>
          <w:numId w:val="1002"/>
        </w:numPr>
        <w:pStyle w:val="Compact"/>
      </w:pPr>
      <w:r>
        <w:t xml:space="preserve">Salesforce developer sandbox with Agentforce enabled</w:t>
      </w:r>
    </w:p>
    <w:p>
      <w:pPr>
        <w:numPr>
          <w:ilvl w:val="0"/>
          <w:numId w:val="1002"/>
        </w:numPr>
        <w:pStyle w:val="Compact"/>
      </w:pPr>
      <w:r>
        <w:t xml:space="preserve">Cloudflare Workers AI API token</w:t>
      </w:r>
    </w:p>
    <w:p>
      <w:pPr>
        <w:numPr>
          <w:ilvl w:val="0"/>
          <w:numId w:val="1002"/>
        </w:numPr>
        <w:pStyle w:val="Compact"/>
      </w:pPr>
      <w:r>
        <w:t xml:space="preserve">Google Vertex AI service account JSON</w:t>
      </w:r>
    </w:p>
    <w:p>
      <w:pPr>
        <w:numPr>
          <w:ilvl w:val="0"/>
          <w:numId w:val="1002"/>
        </w:numPr>
        <w:pStyle w:val="Compact"/>
      </w:pPr>
      <w:r>
        <w:t xml:space="preserve">Uniphore BAC access (if available) or mock mode</w:t>
      </w:r>
    </w:p>
    <w:p>
      <w:pPr>
        <w:pStyle w:val="FirstParagraph"/>
      </w:pPr>
      <w:r>
        <w:t xml:space="preserve">Credentials loaded into</w:t>
      </w:r>
      <w:r>
        <w:t xml:space="preserve"> </w:t>
      </w:r>
      <w:r>
        <w:rPr>
          <w:rStyle w:val="VerbatimChar"/>
        </w:rPr>
        <w:t xml:space="preserve">.env</w:t>
      </w:r>
      <w:r>
        <w:t xml:space="preserve">, never committed. The docker-compose stack stands up in under three minutes on a fresh clone once credentials are in place.</w:t>
      </w:r>
    </w:p>
    <w:p>
      <w:r>
        <w:pict>
          <v:rect style="width:0;height:1.5pt" o:hralign="center" o:hrstd="t" o:hr="t"/>
        </w:pict>
      </w:r>
    </w:p>
    <w:bookmarkEnd w:id="40"/>
    <w:bookmarkStart w:id="41" w:name="commercial-structure-for-the-demo-build"/>
    <w:p>
      <w:pPr>
        <w:pStyle w:val="Heading2"/>
      </w:pPr>
      <w:r>
        <w:t xml:space="preserve">Commercial Structure for the Demo Build</w:t>
      </w:r>
    </w:p>
    <w:p>
      <w:pPr>
        <w:pStyle w:val="FirstParagraph"/>
      </w:pPr>
      <w:r>
        <w:rPr>
          <w:bCs/>
          <w:b/>
        </w:rPr>
        <w:t xml:space="preserve">Fee:</w:t>
      </w:r>
      <w:r>
        <w:t xml:space="preserve"> </w:t>
      </w:r>
      <w:r>
        <w:t xml:space="preserve">$24,000 fixed-price for the seven-day demo build. Payment: 50% on contract, 50% on delivered demo.</w:t>
      </w:r>
    </w:p>
    <w:p>
      <w:pPr>
        <w:pStyle w:val="BodyText"/>
      </w:pPr>
      <w:r>
        <w:rPr>
          <w:bCs/>
          <w:b/>
        </w:rPr>
        <w:t xml:space="preserve">Team:</w:t>
      </w:r>
      <w:r>
        <w:t xml:space="preserve"> </w:t>
      </w:r>
      <w:r>
        <w:t xml:space="preserve">minimum two senior engineers — one Go-forward for the UEF, Adapter Gateway, Instruction Runtime, and Ledger; one full-stack for the Signal Bus, rPotential simulator, dashboard, and Python services. A third engineer for polish and adapter breadth accelerates delivery but is not strictly required.</w:t>
      </w:r>
    </w:p>
    <w:p>
      <w:pPr>
        <w:pStyle w:val="BodyText"/>
      </w:pPr>
      <w:r>
        <w:rPr>
          <w:bCs/>
          <w:b/>
        </w:rPr>
        <w:t xml:space="preserve">Deliverable:</w:t>
      </w:r>
      <w:r>
        <w:t xml:space="preserve"> </w:t>
      </w:r>
      <w:r>
        <w:t xml:space="preserve">the complete</w:t>
      </w:r>
      <w:r>
        <w:t xml:space="preserve"> </w:t>
      </w:r>
      <w:r>
        <w:rPr>
          <w:rStyle w:val="VerbatimChar"/>
        </w:rPr>
        <w:t xml:space="preserve">aeos-demo/</w:t>
      </w:r>
      <w:r>
        <w:t xml:space="preserve"> </w:t>
      </w:r>
      <w:r>
        <w:t xml:space="preserve">repository, docker-compose deployment, 40-minute DEMO_SCRIPT walkthrough, rehearsed end-to-end demo, and a recorded 10-minute highlight reel that can be shared with prospective partners who cannot travel for a live demo.</w:t>
      </w:r>
    </w:p>
    <w:p>
      <w:pPr>
        <w:pStyle w:val="BodyText"/>
      </w:pPr>
      <w:r>
        <w:rPr>
          <w:bCs/>
          <w:b/>
        </w:rPr>
        <w:t xml:space="preserve">Post-delivery:</w:t>
      </w:r>
      <w:r>
        <w:t xml:space="preserve"> </w:t>
      </w:r>
      <w:r>
        <w:t xml:space="preserve">two weeks of on-call support during the demo roadshow period — bug fixes, minor adjustments based on feedback from early demo audiences, credential rotation, and adjustments to the seeded data if specific partners want to see their own workforce profiles in the dashboard.</w:t>
      </w:r>
    </w:p>
    <w:p>
      <w:r>
        <w:pict>
          <v:rect style="width:0;height:1.5pt" o:hralign="center" o:hrstd="t" o:hr="t"/>
        </w:pict>
      </w:r>
    </w:p>
    <w:bookmarkEnd w:id="41"/>
    <w:bookmarkStart w:id="42" w:name="what-the-demo-does-and-does-not-prove"/>
    <w:p>
      <w:pPr>
        <w:pStyle w:val="Heading2"/>
      </w:pPr>
      <w:r>
        <w:t xml:space="preserve">What the Demo Does and Does Not Prove</w:t>
      </w:r>
    </w:p>
    <w:p>
      <w:pPr>
        <w:pStyle w:val="FirstParagraph"/>
      </w:pPr>
      <w:r>
        <w:rPr>
          <w:bCs/>
          <w:b/>
        </w:rPr>
        <w:t xml:space="preserve">It does prove:</w:t>
      </w:r>
      <w:r>
        <w:t xml:space="preserve"> </w:t>
      </w:r>
      <w:r>
        <w:t xml:space="preserve">the architecture is real, the GSTI algorithm operates on live signals, the Coordination Tax computation is functional, the six-runtime integration is not vaporware, the rPotential closed-loop is working, the per-Boundary governance is enforcing correctly, and the Dynamic Instruction Runtime is injecting in real time. Every element of the white paper is visible, operating, and reproducible on command.</w:t>
      </w:r>
    </w:p>
    <w:p>
      <w:pPr>
        <w:pStyle w:val="BodyText"/>
      </w:pPr>
      <w:r>
        <w:rPr>
          <w:bCs/>
          <w:b/>
        </w:rPr>
        <w:t xml:space="preserve">It does not prove:</w:t>
      </w:r>
      <w:r>
        <w:t xml:space="preserve"> </w:t>
      </w:r>
      <w:r>
        <w:t xml:space="preserve">production scale, multi-region resilience, enterprise security posture, the full 14-jurisdiction policy pack library, or sustained 50,000-decisions-per-day throughput. These are production-engagement concerns addressed by the Full Architecture Document’s twelve-week build plan.</w:t>
      </w:r>
    </w:p>
    <w:p>
      <w:pPr>
        <w:pStyle w:val="BodyText"/>
      </w:pPr>
      <w:r>
        <w:t xml:space="preserve">The demo is sufficient for:</w:t>
      </w:r>
    </w:p>
    <w:p>
      <w:pPr>
        <w:numPr>
          <w:ilvl w:val="0"/>
          <w:numId w:val="1003"/>
        </w:numPr>
        <w:pStyle w:val="Compact"/>
      </w:pPr>
      <w:r>
        <w:t xml:space="preserve">Partnership conversations with Anthropic, OpenAI, Salesforce, Cloudflare, Google, Uniphore enterprise partnership teams</w:t>
      </w:r>
    </w:p>
    <w:p>
      <w:pPr>
        <w:numPr>
          <w:ilvl w:val="0"/>
          <w:numId w:val="1003"/>
        </w:numPr>
        <w:pStyle w:val="Compact"/>
      </w:pPr>
      <w:r>
        <w:t xml:space="preserve">Strategic conversations with rPotential leadership and their board</w:t>
      </w:r>
    </w:p>
    <w:p>
      <w:pPr>
        <w:numPr>
          <w:ilvl w:val="0"/>
          <w:numId w:val="1003"/>
        </w:numPr>
        <w:pStyle w:val="Compact"/>
      </w:pPr>
      <w:r>
        <w:t xml:space="preserve">Conversations with the Adecco Group and other channel partners</w:t>
      </w:r>
    </w:p>
    <w:p>
      <w:pPr>
        <w:numPr>
          <w:ilvl w:val="0"/>
          <w:numId w:val="1003"/>
        </w:numPr>
        <w:pStyle w:val="Compact"/>
      </w:pPr>
      <w:r>
        <w:t xml:space="preserve">Engineering review with prospective production engineering partners</w:t>
      </w:r>
    </w:p>
    <w:p>
      <w:pPr>
        <w:numPr>
          <w:ilvl w:val="0"/>
          <w:numId w:val="1003"/>
        </w:numPr>
        <w:pStyle w:val="Compact"/>
      </w:pPr>
      <w:r>
        <w:t xml:space="preserve">Board-level demonstration to FuzeBox’s own board</w:t>
      </w:r>
    </w:p>
    <w:p>
      <w:pPr>
        <w:pStyle w:val="FirstParagraph"/>
      </w:pPr>
      <w:r>
        <w:t xml:space="preserve">The demo is not sufficient for an enterprise production deployment. Production requires the twelve-week build.</w:t>
      </w:r>
    </w:p>
    <w:p>
      <w:r>
        <w:pict>
          <v:rect style="width:0;height:1.5pt" o:hralign="center" o:hrstd="t" o:hr="t"/>
        </w:pict>
      </w:r>
    </w:p>
    <w:bookmarkEnd w:id="42"/>
    <w:bookmarkStart w:id="43" w:name="Xca78cac7c5f600bc8c53a9c33cdeab8a291822b"/>
    <w:p>
      <w:pPr>
        <w:pStyle w:val="Heading2"/>
      </w:pPr>
      <w:r>
        <w:t xml:space="preserve">How the Demo Connects to the Production Build</w:t>
      </w:r>
    </w:p>
    <w:p>
      <w:pPr>
        <w:pStyle w:val="FirstParagraph"/>
      </w:pPr>
      <w:r>
        <w:t xml:space="preserve">The demo codebase is not thrown away. Every service, every adapter, every scoring function built in the demo is the production starting point. The production build extends:</w:t>
      </w:r>
    </w:p>
    <w:p>
      <w:pPr>
        <w:numPr>
          <w:ilvl w:val="0"/>
          <w:numId w:val="1004"/>
        </w:numPr>
        <w:pStyle w:val="Compact"/>
      </w:pPr>
      <w:r>
        <w:t xml:space="preserve">SQLite → ClickHouse (the Ledger’s analytical store)</w:t>
      </w:r>
    </w:p>
    <w:p>
      <w:pPr>
        <w:numPr>
          <w:ilvl w:val="0"/>
          <w:numId w:val="1004"/>
        </w:numPr>
        <w:pStyle w:val="Compact"/>
      </w:pPr>
      <w:r>
        <w:t xml:space="preserve">In-process event bus → Kafka</w:t>
      </w:r>
    </w:p>
    <w:p>
      <w:pPr>
        <w:numPr>
          <w:ilvl w:val="0"/>
          <w:numId w:val="1004"/>
        </w:numPr>
        <w:pStyle w:val="Compact"/>
      </w:pPr>
      <w:r>
        <w:t xml:space="preserve">Single-node docker-compose → Kubernetes</w:t>
      </w:r>
    </w:p>
    <w:p>
      <w:pPr>
        <w:numPr>
          <w:ilvl w:val="0"/>
          <w:numId w:val="1004"/>
        </w:numPr>
        <w:pStyle w:val="Compact"/>
      </w:pPr>
      <w:r>
        <w:t xml:space="preserve">Single region → multi-region with data residency routing</w:t>
      </w:r>
    </w:p>
    <w:p>
      <w:pPr>
        <w:numPr>
          <w:ilvl w:val="0"/>
          <w:numId w:val="1004"/>
        </w:numPr>
        <w:pStyle w:val="Compact"/>
      </w:pPr>
      <w:r>
        <w:t xml:space="preserve">3 policy packs → 14 policy packs across the full jurisdictional footprint</w:t>
      </w:r>
    </w:p>
    <w:p>
      <w:pPr>
        <w:numPr>
          <w:ilvl w:val="0"/>
          <w:numId w:val="1004"/>
        </w:numPr>
        <w:pStyle w:val="Compact"/>
      </w:pPr>
      <w:r>
        <w:t xml:space="preserve">Demo-scale seeded data → real enterprise data integration</w:t>
      </w:r>
    </w:p>
    <w:p>
      <w:pPr>
        <w:numPr>
          <w:ilvl w:val="0"/>
          <w:numId w:val="1004"/>
        </w:numPr>
        <w:pStyle w:val="Compact"/>
      </w:pPr>
      <w:r>
        <w:t xml:space="preserve">Basic auth → mTLS plus per-tenant OAuth2</w:t>
      </w:r>
    </w:p>
    <w:p>
      <w:pPr>
        <w:numPr>
          <w:ilvl w:val="0"/>
          <w:numId w:val="1004"/>
        </w:numPr>
        <w:pStyle w:val="Compact"/>
      </w:pPr>
      <w:r>
        <w:t xml:space="preserve">Demo observability → full OpenTelemetry with Prometheus and Grafana at production scale</w:t>
      </w:r>
    </w:p>
    <w:p>
      <w:pPr>
        <w:numPr>
          <w:ilvl w:val="0"/>
          <w:numId w:val="1004"/>
        </w:numPr>
        <w:pStyle w:val="Compact"/>
      </w:pPr>
      <w:r>
        <w:t xml:space="preserve">200 actors → integration with Workday, SAP SuccessFactors, ServiceNow for live workforce data</w:t>
      </w:r>
    </w:p>
    <w:p>
      <w:pPr>
        <w:pStyle w:val="FirstParagraph"/>
      </w:pPr>
      <w:r>
        <w:t xml:space="preserve">The production engagement described in the Full Architecture Document is a 12-week effort for a team of three to four senior engineers at $85,000–$115,000 fixed-price, building on the demo foundation.</w:t>
      </w:r>
    </w:p>
    <w:p>
      <w:r>
        <w:pict>
          <v:rect style="width:0;height:1.5pt" o:hralign="center" o:hrstd="t" o:hr="t"/>
        </w:pict>
      </w:r>
    </w:p>
    <w:p>
      <w:pPr>
        <w:pStyle w:val="FirstParagraph"/>
      </w:pPr>
      <w:r>
        <w:rPr>
          <w:iCs/>
          <w:i/>
        </w:rPr>
        <w:t xml:space="preserve">End of one-week demonstration specification. Companion documents: FuzeBox AEOS White Paper, Full Architecture Document with visual system designs.</w:t>
      </w:r>
    </w:p>
    <w:p>
      <w:pPr>
        <w:pStyle w:val="BodyText"/>
      </w:pPr>
      <w:r>
        <w:rPr>
          <w:iCs/>
          <w:i/>
        </w:rPr>
        <w:t xml:space="preserve">FuzeBox.AI · Confidential · April 2026</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2026-04-19T05:22:11Z</dcterms:created>
  <dcterms:modified xsi:type="dcterms:W3CDTF">2026-04-19T05:22:11Z</dcterms:modified>
</cp:coreProperties>
</file>

<file path=docProps/custom.xml><?xml version="1.0" encoding="utf-8"?>
<Properties xmlns="http://schemas.openxmlformats.org/officeDocument/2006/custom-properties" xmlns:vt="http://schemas.openxmlformats.org/officeDocument/2006/docPropsVTypes"/>
</file>