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eos-product-requirements-document"/>
    <w:p>
      <w:pPr>
        <w:pStyle w:val="Heading1"/>
      </w:pPr>
      <w:r>
        <w:t xml:space="preserve">AEOS Product Requirements Document</w:t>
      </w:r>
    </w:p>
    <w:bookmarkStart w:id="20" w:name="X83e5448d88c29c343086da1fe6f2fa5a4bb1491"/>
    <w:p>
      <w:pPr>
        <w:pStyle w:val="Heading2"/>
      </w:pPr>
      <w:r>
        <w:t xml:space="preserve">Developer UX Absorption from Paperclip, Dynamic GPU Provisioning via Vast.ai, and Three-Tier Eval Harness</w:t>
      </w:r>
    </w:p>
    <w:p>
      <w:pPr>
        <w:pStyle w:val="FirstParagraph"/>
      </w:pPr>
      <w:r>
        <w:rPr>
          <w:bCs/>
          <w:b/>
        </w:rPr>
        <w:t xml:space="preserve">Document classification:</w:t>
      </w:r>
      <w:r>
        <w:t xml:space="preserve"> </w:t>
      </w:r>
      <w:r>
        <w:t xml:space="preserve">Confidential · Engineering and Product Leadership</w:t>
      </w:r>
      <w:r>
        <w:t xml:space="preserve"> </w:t>
      </w:r>
      <w:r>
        <w:rPr>
          <w:bCs/>
          <w:b/>
        </w:rPr>
        <w:t xml:space="preserve">Version:</w:t>
      </w:r>
      <w:r>
        <w:t xml:space="preserve"> </w:t>
      </w:r>
      <w:r>
        <w:t xml:space="preserve">2.0 · April 2026</w:t>
      </w:r>
      <w:r>
        <w:t xml:space="preserve"> </w:t>
      </w:r>
      <w:r>
        <w:rPr>
          <w:bCs/>
          <w:b/>
        </w:rPr>
        <w:t xml:space="preserve">Audience:</w:t>
      </w:r>
      <w:r>
        <w:t xml:space="preserve"> </w:t>
      </w:r>
      <w:r>
        <w:t xml:space="preserve">FuzeBox engineering (Danny, Dulay, the architecture team), Product (John), Commercial (Les)</w:t>
      </w:r>
      <w:r>
        <w:t xml:space="preserve"> </w:t>
      </w:r>
      <w:r>
        <w:rPr>
          <w:bCs/>
          <w:b/>
        </w:rPr>
        <w:t xml:space="preserve">Companion documents:</w:t>
      </w:r>
      <w:r>
        <w:t xml:space="preserve"> </w:t>
      </w:r>
      <w:r>
        <w:t xml:space="preserve">AEOS Core IP White Paper · Full Architecture Document · Internal Engineering Brief · One-Week Demonstration Specification</w:t>
      </w:r>
    </w:p>
    <w:p>
      <w:r>
        <w:pict>
          <v:rect style="width:0;height:1.5pt" o:hralign="center" o:hrstd="t" o:hr="t"/>
        </w:pict>
      </w:r>
    </w:p>
    <w:bookmarkEnd w:id="20"/>
    <w:bookmarkStart w:id="21" w:name="purpose-and-scope"/>
    <w:p>
      <w:pPr>
        <w:pStyle w:val="Heading2"/>
      </w:pPr>
      <w:r>
        <w:t xml:space="preserve">1. Purpose and Scope</w:t>
      </w:r>
    </w:p>
    <w:p>
      <w:pPr>
        <w:pStyle w:val="FirstParagraph"/>
      </w:pPr>
      <w:r>
        <w:t xml:space="preserve">This Product Requirements Document specifies three distinct but related engineering motions to be delivered in parallel within the AEOS Q3 2026 build phase:</w:t>
      </w:r>
    </w:p>
    <w:p>
      <w:pPr>
        <w:pStyle w:val="BodyText"/>
      </w:pPr>
      <w:r>
        <w:rPr>
          <w:bCs/>
          <w:b/>
        </w:rPr>
        <w:t xml:space="preserve">Motion A — Paperclip pattern absorption.</w:t>
      </w:r>
      <w:r>
        <w:t xml:space="preserve"> </w:t>
      </w:r>
      <w:r>
        <w:t xml:space="preserve">Adopt a curated set of open-source UX and runtime patterns from Paperclip (paperclipai/paperclip, MIT License) into AEOS. Paperclip is a developer-facing agent management platform; its underlying data models, heartbeat pattern, ticket format, SKILLS.md convention, budget-tracking UX, and approval-gate pattern are genuinely well-designed and cover the</w:t>
      </w:r>
      <w:r>
        <w:t xml:space="preserve"> </w:t>
      </w:r>
      <w:r>
        <w:t xml:space="preserve">“</w:t>
      </w:r>
      <w:r>
        <w:t xml:space="preserve">run a company made of agents</w:t>
      </w:r>
      <w:r>
        <w:t xml:space="preserve">”</w:t>
      </w:r>
      <w:r>
        <w:t xml:space="preserve"> </w:t>
      </w:r>
      <w:r>
        <w:t xml:space="preserve">surface that AEOS currently specifies only at the production-service layer. The MIT license explicitly permits absorption into proprietary and commercial products subject to attribution requirements. AEOS absorbs the patterns, credits Paperclip, and retains the architectural center of gravity (UEF, Skills Authority, Economic Ledger, per-Boundary governance, rPotential closed loop) as proprietary differentiation.</w:t>
      </w:r>
    </w:p>
    <w:p>
      <w:pPr>
        <w:pStyle w:val="BodyText"/>
      </w:pPr>
      <w:r>
        <w:rPr>
          <w:bCs/>
          <w:b/>
        </w:rPr>
        <w:t xml:space="preserve">Motion B — Vast.ai dynamic provisioning.</w:t>
      </w:r>
      <w:r>
        <w:t xml:space="preserve"> </w:t>
      </w:r>
      <w:r>
        <w:t xml:space="preserve">Extend the AEOS open-source runtime adapter at Layer 8 (Adapter Gateway) to support dynamic GPU provisioning via the Vast.ai marketplace API. Vast.ai provides programmatic 60-second instance launch, per-second billing, and marketplace pricing at 5-6x cost advantage over hyperscaler clouds for equivalent compute. This capability enables AEOS to route open-source-suitable workloads to dynamically provisioned private inference infrastructure at costs materially lower than commercial API alternatives, expanding the economic-value scoring profile for open-source runtimes in the UEF decision function.</w:t>
      </w:r>
    </w:p>
    <w:p>
      <w:pPr>
        <w:pStyle w:val="BodyText"/>
      </w:pPr>
      <w:r>
        <w:rPr>
          <w:bCs/>
          <w:b/>
        </w:rPr>
        <w:t xml:space="preserve">Motion C — Three-Tier Eval Harness with workforce-routed quality judgment.</w:t>
      </w:r>
      <w:r>
        <w:t xml:space="preserve"> </w:t>
      </w:r>
      <w:r>
        <w:t xml:space="preserve">Extend the AEOS Telemetry and Observability layer at Layer 10 with a sub-component that grades every agent execution output against explicit per-skill criteria before the outcome becomes a LedgerRow. Three evaluation tiers: Tier 1 deterministic Format Compliance, Tier 2 semi-automated Factual Accuracy, Tier 3 human-routed Quality Judgment. Eval criteria declared per Skill in the Skills Authority. Tier 3 evaluators selected using rPotential UoP signals, Skills Authority authorization, and Coordination Tax minimization rather than organizational hierarchy alone. Eval outcomes replace vendor self-reported success flags in the Economic Ledger. Aggregated eval failures feed into the Dynamic Instruction Runtime at Layer 9 as the continuous improvement flywheel. Extends the parent patent specification’s DODAG closed-loop control architecture to DEODAG by interposing the Evaluate stage between Observe and Decide.</w:t>
      </w:r>
    </w:p>
    <w:p>
      <w:pPr>
        <w:pStyle w:val="BodyText"/>
      </w:pPr>
      <w:r>
        <w:t xml:space="preserve">All three motions are additive to the existing AEOS architecture. None requires rearchitecting any existing layer. All three are delivered as extensions to specified components (the admin dashboard, the Layer 1 Intent Classifier, the Layer 3 Skills Authority, the Layer 8 Adapter Gateway, the Layer 9 Dynamic Instruction Runtime, the Layer 10 Telemetry and Observability, the Layer 11 Execution Economic Ledger, and the Layer 12 Audit and Attestation service).</w:t>
      </w:r>
    </w:p>
    <w:p>
      <w:pPr>
        <w:pStyle w:val="BodyText"/>
      </w:pPr>
      <w:r>
        <w:t xml:space="preserve">Out of scope for this document: the five core IP assets (GSTI, Coordination Tax, Economic Ledger, per-Boundary governance, and the Eval Harness itself which is the subject of Motion C), the rPotential closed-loop integration, the six patent families, and the core runtime adapter portfolio (Anthropic, OpenAI, Google, Microsoft, Salesforce, Cloudflare, Uniphore, Pega). Those are specified in the Core IP White Paper and the Full Architecture Document.</w:t>
      </w:r>
    </w:p>
    <w:p>
      <w:r>
        <w:pict>
          <v:rect style="width:0;height:1.5pt" o:hralign="center" o:hrstd="t" o:hr="t"/>
        </w:pict>
      </w:r>
    </w:p>
    <w:bookmarkEnd w:id="21"/>
    <w:bookmarkStart w:id="25" w:name="strategic-context"/>
    <w:p>
      <w:pPr>
        <w:pStyle w:val="Heading2"/>
      </w:pPr>
      <w:r>
        <w:t xml:space="preserve">2. Strategic Context</w:t>
      </w:r>
    </w:p>
    <w:bookmarkStart w:id="22" w:name="why-paperclip-absorption-matters"/>
    <w:p>
      <w:pPr>
        <w:pStyle w:val="Heading3"/>
      </w:pPr>
      <w:r>
        <w:t xml:space="preserve">2.1 Why Paperclip Absorption Matters</w:t>
      </w:r>
    </w:p>
    <w:p>
      <w:pPr>
        <w:pStyle w:val="FirstParagraph"/>
      </w:pPr>
      <w:r>
        <w:t xml:space="preserve">Paperclip has achieved genuine developer traction with a UX pattern for agent management that AEOS would need regardless — AEOS customers will expect to see their agent populations as org charts, manage agent budgets as first-class objects, trace agent conversations as tickets, declare agent skills in developer-friendly markdown, and enforce approval gates for sensitive actions. FuzeBox engineering will build these UX capabilities; the question is whether to build them from scratch, invent them independently of proven patterns, or absorb Paperclip’s open-source implementations as the starting point.</w:t>
      </w:r>
    </w:p>
    <w:p>
      <w:pPr>
        <w:pStyle w:val="BodyText"/>
      </w:pPr>
      <w:r>
        <w:t xml:space="preserve">Absorbing Paperclip accelerates delivery of the developer-facing AEOS surface by an estimated 4–8 weeks and increases the likelihood of adoption because the patterns are already familiar to developers who have tried Paperclip. The MIT license makes this legally straightforward. Attribution is the only requirement.</w:t>
      </w:r>
    </w:p>
    <w:p>
      <w:pPr>
        <w:pStyle w:val="BodyText"/>
      </w:pPr>
      <w:r>
        <w:t xml:space="preserve">Strategically, absorbing Paperclip’s patterns positions AEOS as the enterprise platform that developer tooling graduates into. A developer who builds a prototype on Paperclip should be able to migrate the prototype to AEOS with minimal friction when their deployment hits Fortune 500 customer requirements for governance, audit, workforce-aware routing, and regulatory compliance. That migration path is a commercial asset — it turns the open-source Paperclip community into a pipeline of AEOS-adjacent developers.</w:t>
      </w:r>
    </w:p>
    <w:bookmarkEnd w:id="22"/>
    <w:bookmarkStart w:id="23" w:name="why-vast.ai-dynamic-provisioning-matters"/>
    <w:p>
      <w:pPr>
        <w:pStyle w:val="Heading3"/>
      </w:pPr>
      <w:r>
        <w:t xml:space="preserve">2.2 Why Vast.ai Dynamic Provisioning Matters</w:t>
      </w:r>
    </w:p>
    <w:p>
      <w:pPr>
        <w:pStyle w:val="FirstParagraph"/>
      </w:pPr>
      <w:r>
        <w:t xml:space="preserve">The AEOS open-source runtime adapter today assumes a persistent inference endpoint. This is correct for tenants who have already deployed Mistral or Llama on their own private infrastructure (private Azure ML, SageMaker, on-prem vLLM). It is insufficient for tenants who want the economic benefit of open-source execution without the operational burden of running the inference infrastructure themselves.</w:t>
      </w:r>
    </w:p>
    <w:p>
      <w:pPr>
        <w:pStyle w:val="BodyText"/>
      </w:pPr>
      <w:r>
        <w:t xml:space="preserve">Vast.ai closes this gap by providing programmatic 60-second GPU provisioning at marketplace pricing. Typical H100 pricing on Vast.ai is approximately $0.90/hour versus $4-6/hour on hyperscaler clouds, with comparable inference throughput. For a Fortune 500 AEOS deployment processing 50,000 tasks per day where 40 percent are high-volume low-risk work suitable for open-source routing, the annualized savings versus commercial API pricing fall in the $500K–$2M range. This is material enough to make AEOS a board-level CFO conversation in addition to a CAIO conversation.</w:t>
      </w:r>
    </w:p>
    <w:p>
      <w:pPr>
        <w:pStyle w:val="BodyText"/>
      </w:pPr>
      <w:r>
        <w:t xml:space="preserve">Vast.ai integration also activates the UEF’s economic_value scoring dimension in a way the static-endpoint model does not. With Vast.ai live pricing available via API, the UEF can evaluate cost-per-task against current spot prices for every open-source candidate path and select paths that genuinely minimize cost for the specific moment of decision. The UEF’s runtime_fit dimension becomes time-aware rather than configuration-static.</w:t>
      </w:r>
    </w:p>
    <w:bookmarkEnd w:id="23"/>
    <w:bookmarkStart w:id="24" w:name="how-these-motions-fit-together"/>
    <w:p>
      <w:pPr>
        <w:pStyle w:val="Heading3"/>
      </w:pPr>
      <w:r>
        <w:t xml:space="preserve">2.3 How These Motions Fit Together</w:t>
      </w:r>
    </w:p>
    <w:p>
      <w:pPr>
        <w:pStyle w:val="FirstParagraph"/>
      </w:pPr>
      <w:r>
        <w:t xml:space="preserve">Paperclip absorption and Vast.ai provisioning are independent in implementation but share an architectural theme: both expand AEOS’s relevance to developer-driven and cost-sensitive deployments without compromising the enterprise governance story. Paperclip absorption captures the developer UX expectation; Vast.ai integration captures the developer cost expectation. Together they make AEOS the natural enterprise-scale destination for developers who start small with Paperclip on Vast.ai-hosted open-source models and need a production control plane when they scale.</w:t>
      </w:r>
    </w:p>
    <w:p>
      <w:r>
        <w:pict>
          <v:rect style="width:0;height:1.5pt" o:hralign="center" o:hrstd="t" o:hr="t"/>
        </w:pict>
      </w:r>
    </w:p>
    <w:bookmarkEnd w:id="24"/>
    <w:bookmarkEnd w:id="25"/>
    <w:bookmarkStart w:id="30" w:name="motion-a-paperclip-pattern-absorption"/>
    <w:p>
      <w:pPr>
        <w:pStyle w:val="Heading2"/>
      </w:pPr>
      <w:r>
        <w:t xml:space="preserve">3. Motion A — Paperclip Pattern Absorption</w:t>
      </w:r>
    </w:p>
    <w:bookmarkStart w:id="26" w:name="patterns-to-absorb"/>
    <w:p>
      <w:pPr>
        <w:pStyle w:val="Heading3"/>
      </w:pPr>
      <w:r>
        <w:t xml:space="preserve">3.1 Patterns to Absorb</w:t>
      </w:r>
    </w:p>
    <w:p>
      <w:pPr>
        <w:pStyle w:val="FirstParagraph"/>
      </w:pPr>
      <w:r>
        <w:t xml:space="preserve">Seven specific Paperclip patterns are targeted for absorption. Each is described with its source in Paperclip, its target integration in AEOS, and the data-model mapping required.</w:t>
      </w:r>
    </w:p>
    <w:p>
      <w:pPr>
        <w:pStyle w:val="BodyText"/>
      </w:pPr>
      <w:r>
        <w:rPr>
          <w:bCs/>
          <w:b/>
        </w:rPr>
        <w:t xml:space="preserve">Pattern A1 — Agent Org-Chart Data Model.</w:t>
      </w:r>
      <w:r>
        <w:t xml:space="preserve"> </w:t>
      </w:r>
      <w:r>
        <w:t xml:space="preserve">Paperclip represents agent populations as org charts with hierarchies, roles, reporting lines, titles, and job descriptions. Each agent has a boss, a title (CEO, CTO, VP Marketing, Engineer Coder, SEO Analyst, etc.), a job description, and a reporting structure. Absorbed into AEOS as the default visual representation of tenant agent populations in the admin dashboard. Data-model mapping: Paperclip’s agent record maps to AEOS’s Actor Protobuf message (defined in the canonical schema), extended with optional org-chart metadata fields (</w:t>
      </w:r>
      <w:r>
        <w:rPr>
          <w:rStyle w:val="VerbatimChar"/>
        </w:rPr>
        <w:t xml:space="preserve">reports_to_actor_id</w:t>
      </w:r>
      <w:r>
        <w:t xml:space="preserve">,</w:t>
      </w:r>
      <w:r>
        <w:t xml:space="preserve"> </w:t>
      </w:r>
      <w:r>
        <w:rPr>
          <w:rStyle w:val="VerbatimChar"/>
        </w:rPr>
        <w:t xml:space="preserve">title</w:t>
      </w:r>
      <w:r>
        <w:t xml:space="preserve">,</w:t>
      </w:r>
      <w:r>
        <w:t xml:space="preserve"> </w:t>
      </w:r>
      <w:r>
        <w:rPr>
          <w:rStyle w:val="VerbatimChar"/>
        </w:rPr>
        <w:t xml:space="preserve">job_description</w:t>
      </w:r>
      <w:r>
        <w:t xml:space="preserve">,</w:t>
      </w:r>
      <w:r>
        <w:t xml:space="preserve"> </w:t>
      </w:r>
      <w:r>
        <w:rPr>
          <w:rStyle w:val="VerbatimChar"/>
        </w:rPr>
        <w:t xml:space="preserve">department</w:t>
      </w:r>
      <w:r>
        <w:t xml:space="preserve">). The production AEOS schema (Actor with capabilities, availability, fatigue, capacity, certifications) is authoritative; org-chart fields are presentation-layer enrichment, not production-routing signals. Implementation surface: AEOS admin dashboard (React frontend), Skills Authority service (Python FastAPI) with new endpoints for org-chart queries.</w:t>
      </w:r>
    </w:p>
    <w:p>
      <w:pPr>
        <w:pStyle w:val="BodyText"/>
      </w:pPr>
      <w:r>
        <w:rPr>
          <w:bCs/>
          <w:b/>
        </w:rPr>
        <w:t xml:space="preserve">Pattern A2 — Ticket-Based Task Format.</w:t>
      </w:r>
      <w:r>
        <w:t xml:space="preserve"> </w:t>
      </w:r>
      <w:r>
        <w:t xml:space="preserve">Paperclip represents every task as a ticket with clear owner, status, and threaded conversation. Every instruction, every response, every tool call and decision is recorded with full tracing. Absorbed into AEOS as an alternative ingestion surface at Layer 1 (Intent Classifier), alongside the canonical Task Protobuf message. Data-model mapping: the Paperclip ticket JSON format is accepted at a new endpoint on the Intent Classifier that translates the ticket into the canonical Task message before the standard classification flow proceeds. The ticket’s threaded conversation surfaces in the admin dashboard as the conversation history associated with the resulting execution; the ticket’s tool-call trace resolves into the CanonicalEvent stream at Layer 10. Implementation surface: Intent Classifier service (Python FastAPI) with a new</w:t>
      </w:r>
      <w:r>
        <w:t xml:space="preserve"> </w:t>
      </w:r>
      <w:r>
        <w:rPr>
          <w:rStyle w:val="VerbatimChar"/>
        </w:rPr>
        <w:t xml:space="preserve">/tasks/ticket</w:t>
      </w:r>
      <w:r>
        <w:t xml:space="preserve"> </w:t>
      </w:r>
      <w:r>
        <w:t xml:space="preserve">endpoint, admin dashboard conversation-history view.</w:t>
      </w:r>
    </w:p>
    <w:p>
      <w:pPr>
        <w:pStyle w:val="BodyText"/>
      </w:pPr>
      <w:r>
        <w:rPr>
          <w:bCs/>
          <w:b/>
        </w:rPr>
        <w:t xml:space="preserve">Pattern A3 — Scheduled Agent Heartbeats.</w:t>
      </w:r>
      <w:r>
        <w:t xml:space="preserve"> </w:t>
      </w:r>
      <w:r>
        <w:t xml:space="preserve">Paperclip agents wake up on a schedule, check their work, and act. Delegation flows up and down the org chart automatically. Ticket assignments wake agents to work. Cross-team requests delegate to the best agent for the job. Absorbed into AEOS as one of several trigger mechanisms at Layer 9 (Dynamic Instruction Runtime), alongside the production signal-change triggers and policy-update triggers. Data-model mapping: Paperclip’s heartbeat schedule (</w:t>
      </w:r>
      <w:r>
        <w:t xml:space="preserve">“</w:t>
      </w:r>
      <w:r>
        <w:t xml:space="preserve">every 4h,</w:t>
      </w:r>
      <w:r>
        <w:t xml:space="preserve">”</w:t>
      </w:r>
      <w:r>
        <w:t xml:space="preserve"> </w:t>
      </w:r>
      <w:r>
        <w:t xml:space="preserve">“</w:t>
      </w:r>
      <w:r>
        <w:t xml:space="preserve">every 8h,</w:t>
      </w:r>
      <w:r>
        <w:t xml:space="preserve">”</w:t>
      </w:r>
      <w:r>
        <w:t xml:space="preserve"> </w:t>
      </w:r>
      <w:r>
        <w:t xml:space="preserve">“</w:t>
      </w:r>
      <w:r>
        <w:t xml:space="preserve">every 12h</w:t>
      </w:r>
      <w:r>
        <w:t xml:space="preserve">”</w:t>
      </w:r>
      <w:r>
        <w:t xml:space="preserve">) maps to an AEOS cron-expression-based trigger registered in the Instruction Runtime’s trigger registry. The heartbeat fires a task synthesis event that flows through the standard L1–L11 pipeline. Implementation surface: Instruction Runtime service (Go), new trigger type registered in the existing trigger type enum.</w:t>
      </w:r>
    </w:p>
    <w:p>
      <w:pPr>
        <w:pStyle w:val="BodyText"/>
      </w:pPr>
      <w:r>
        <w:rPr>
          <w:bCs/>
          <w:b/>
        </w:rPr>
        <w:t xml:space="preserve">Pattern A4 — Per-Agent Budget Tracking with Automatic Pause.</w:t>
      </w:r>
      <w:r>
        <w:t xml:space="preserve"> </w:t>
      </w:r>
      <w:r>
        <w:t xml:space="preserve">Paperclip gives every agent a monthly budget. When agents hit the limit, they stop automatically. No runaway costs. Soft warning at 80 percent utilization. Absorbed into AEOS as a feature of the Execution Economic Ledger’s admin surface. Data-model mapping: Paperclip’s per-agent budget maps to a new BudgetPolicy Protobuf message associated with each Actor. The Ledger Service computes cumulative cost per actor per period (daily, weekly, monthly) and exposes a budget-utilization percentage. Budget enforcement happens at Layer 8 (Adapter Gateway) as a pre-dispatch middleware check; over-budget actors are rejected with a structured error that the Ledger captures. Implementation surface: Ledger Service (Go + ClickHouse), Adapter Gateway middleware extension, admin dashboard budget panel.</w:t>
      </w:r>
    </w:p>
    <w:p>
      <w:pPr>
        <w:pStyle w:val="BodyText"/>
      </w:pPr>
      <w:r>
        <w:rPr>
          <w:bCs/>
          <w:b/>
        </w:rPr>
        <w:t xml:space="preserve">Pattern A5 — SKILLS.md Runtime Skill Declaration.</w:t>
      </w:r>
      <w:r>
        <w:t xml:space="preserve"> </w:t>
      </w:r>
      <w:r>
        <w:t xml:space="preserve">Paperclip uses a SKILLS.md convention — markdown files that declare agent skills and context — for runtime skill injection without retraining. Absorbed into AEOS as a developer-friendly onboarding path for the Skills Authority at Layer 3. Data-model mapping: a SKILLS.md file in a well-defined format (skill_id, name, description, allowed_paths, governance_tags, strategic_weight, required_tools) is ingested by the Skills Authority and translated into canonical Skill Protobuf records. The Skills Authority’s production schema remains the single source of truth; SKILLS.md is a bulk-load format and a human-readable reference. Implementation surface: Skills Authority service (Python FastAPI) with a new</w:t>
      </w:r>
      <w:r>
        <w:t xml:space="preserve"> </w:t>
      </w:r>
      <w:r>
        <w:rPr>
          <w:rStyle w:val="VerbatimChar"/>
        </w:rPr>
        <w:t xml:space="preserve">/skills/import-markdown</w:t>
      </w:r>
      <w:r>
        <w:t xml:space="preserve"> </w:t>
      </w:r>
      <w:r>
        <w:t xml:space="preserve">endpoint, a corresponding</w:t>
      </w:r>
      <w:r>
        <w:t xml:space="preserve"> </w:t>
      </w:r>
      <w:r>
        <w:rPr>
          <w:rStyle w:val="VerbatimChar"/>
        </w:rPr>
        <w:t xml:space="preserve">/skills/export-markdown</w:t>
      </w:r>
      <w:r>
        <w:t xml:space="preserve"> </w:t>
      </w:r>
      <w:r>
        <w:t xml:space="preserve">endpoint for round-trip developer workflows, and CI/CD tooling for SKILLS.md validation.</w:t>
      </w:r>
    </w:p>
    <w:p>
      <w:pPr>
        <w:pStyle w:val="BodyText"/>
      </w:pPr>
      <w:r>
        <w:rPr>
          <w:bCs/>
          <w:b/>
        </w:rPr>
        <w:t xml:space="preserve">Pattern A6 — Approval-Gate Pattern for Human-in-the-Loop Governance.</w:t>
      </w:r>
      <w:r>
        <w:t xml:space="preserve"> </w:t>
      </w:r>
      <w:r>
        <w:t xml:space="preserve">Paperclip enforces approval gates at sensitive decision points — agents cannot hire new agents without board approval, the CEO cannot execute a strategy the board has not reviewed, the user as the board can pause any agent, reassign any task, adjust any budget at any time. Absorbed into AEOS as the human-governance surface at Layer 12 (Audit and Attestation). Data-model mapping: Paperclip’s approval-gate concept maps to a new ApprovalRequirement Protobuf message, referenced from the GovernanceRequirement returned by the Governance Service at Layer 2. Specific tenant-scoped approval gates (new runtime adapter onboarding, Boundary configuration changes, skill-authority modifications, budget adjustments beyond a threshold) are enforced by the Governance Service before the corresponding action is permitted. Implementation surface: Governance Service (Python FastAPI) with new approval-gate evaluation logic, admin dashboard approval-queue view, mobile push notification integration for time-sensitive approvals.</w:t>
      </w:r>
    </w:p>
    <w:p>
      <w:pPr>
        <w:pStyle w:val="BodyText"/>
      </w:pPr>
      <w:r>
        <w:rPr>
          <w:bCs/>
          <w:b/>
        </w:rPr>
        <w:t xml:space="preserve">Pattern A7 — Multi-Company Multi-Tenant Isolation UX.</w:t>
      </w:r>
      <w:r>
        <w:t xml:space="preserve"> </w:t>
      </w:r>
      <w:r>
        <w:t xml:space="preserve">Paperclip supports multiple businesses in one install with complete data isolation between companies and one control plane for an entire portfolio. AEOS’s multi-tenant isolation at the service and storage layer is already specified in the Full Architecture Document; the absorbed pattern is the UX surface — a portfolio view that lets a single AEOS operator (an MSP, a consulting firm managing multiple clients, or a corporation managing multiple legal entities) see every tenant deployment in one dashboard with isolation preserved at the data layer. Implementation surface: admin dashboard portfolio view, authentication and authorization service extensions.</w:t>
      </w:r>
    </w:p>
    <w:bookmarkEnd w:id="26"/>
    <w:bookmarkStart w:id="27" w:name="mit-license-attribution-requirements"/>
    <w:p>
      <w:pPr>
        <w:pStyle w:val="Heading3"/>
      </w:pPr>
      <w:r>
        <w:t xml:space="preserve">3.2 MIT License Attribution Requirements</w:t>
      </w:r>
    </w:p>
    <w:p>
      <w:pPr>
        <w:pStyle w:val="FirstParagraph"/>
      </w:pPr>
      <w:r>
        <w:t xml:space="preserve">The Paperclip project is MIT-licensed. The MIT license permits use, copy, modification, merging, publishing, distribution, sublicensing, and sale of the software subject to one requirement: the copyright notice and permission notice must be included in all copies or substantial portions of the software.</w:t>
      </w:r>
    </w:p>
    <w:p>
      <w:pPr>
        <w:pStyle w:val="BodyText"/>
      </w:pPr>
      <w:r>
        <w:t xml:space="preserve">Concrete attribution plan for AEOS:</w:t>
      </w:r>
    </w:p>
    <w:p>
      <w:pPr>
        <w:numPr>
          <w:ilvl w:val="0"/>
          <w:numId w:val="1001"/>
        </w:numPr>
        <w:pStyle w:val="Compact"/>
      </w:pPr>
      <w:r>
        <w:t xml:space="preserve">Every AEOS codebase file that incorporates absorbed Paperclip patterns includes a header comment referencing the original Paperclip MIT license, the Paperclip repository URL, and the specific pattern absorbed.</w:t>
      </w:r>
    </w:p>
    <w:p>
      <w:pPr>
        <w:numPr>
          <w:ilvl w:val="0"/>
          <w:numId w:val="1001"/>
        </w:numPr>
        <w:pStyle w:val="Compact"/>
      </w:pPr>
      <w:r>
        <w:t xml:space="preserve">The AEOS repository contains a</w:t>
      </w:r>
      <w:r>
        <w:t xml:space="preserve"> </w:t>
      </w:r>
      <w:r>
        <w:rPr>
          <w:rStyle w:val="VerbatimChar"/>
        </w:rPr>
        <w:t xml:space="preserve">THIRD_PARTY_NOTICES.md</w:t>
      </w:r>
      <w:r>
        <w:t xml:space="preserve"> </w:t>
      </w:r>
      <w:r>
        <w:t xml:space="preserve">file in the repo root listing Paperclip as a source of absorbed patterns with the full MIT license text and attribution.</w:t>
      </w:r>
    </w:p>
    <w:p>
      <w:pPr>
        <w:numPr>
          <w:ilvl w:val="0"/>
          <w:numId w:val="1001"/>
        </w:numPr>
        <w:pStyle w:val="Compact"/>
      </w:pPr>
      <w:r>
        <w:t xml:space="preserve">The AEOS public documentation contains a</w:t>
      </w:r>
      <w:r>
        <w:t xml:space="preserve"> </w:t>
      </w:r>
      <w:r>
        <w:t xml:space="preserve">“</w:t>
      </w:r>
      <w:r>
        <w:t xml:space="preserve">Patterns Absorbed from Open Source</w:t>
      </w:r>
      <w:r>
        <w:t xml:space="preserve">”</w:t>
      </w:r>
      <w:r>
        <w:t xml:space="preserve"> </w:t>
      </w:r>
      <w:r>
        <w:t xml:space="preserve">acknowledgment page referencing Paperclip explicitly, with the canonical GitHub URL (paperclipai/paperclip) and a brief description of which patterns were absorbed and at which architectural layer.</w:t>
      </w:r>
    </w:p>
    <w:p>
      <w:pPr>
        <w:numPr>
          <w:ilvl w:val="0"/>
          <w:numId w:val="1001"/>
        </w:numPr>
        <w:pStyle w:val="Compact"/>
      </w:pPr>
      <w:r>
        <w:t xml:space="preserve">When AEOS ships the first public release containing absorbed Paperclip patterns, a brief public acknowledgment post on the FuzeBox blog recognizes the Paperclip maintainers’ work, reinforces that AEOS and Paperclip occupy different tiers (developer vs enterprise), and invites Paperclip users to evaluate AEOS when their deployments hit enterprise-scale requirements.</w:t>
      </w:r>
    </w:p>
    <w:bookmarkEnd w:id="27"/>
    <w:bookmarkStart w:id="28" w:name="non-goals-for-paperclip-absorption"/>
    <w:p>
      <w:pPr>
        <w:pStyle w:val="Heading3"/>
      </w:pPr>
      <w:r>
        <w:t xml:space="preserve">3.3 Non-Goals for Paperclip Absorption</w:t>
      </w:r>
    </w:p>
    <w:p>
      <w:pPr>
        <w:pStyle w:val="FirstParagraph"/>
      </w:pPr>
      <w:r>
        <w:t xml:space="preserve">AEOS does not absorb, copy, or reimplement:</w:t>
      </w:r>
    </w:p>
    <w:p>
      <w:pPr>
        <w:numPr>
          <w:ilvl w:val="0"/>
          <w:numId w:val="1002"/>
        </w:numPr>
        <w:pStyle w:val="Compact"/>
      </w:pPr>
      <w:r>
        <w:t xml:space="preserve">Paperclip’s agent runtime logic. AEOS has its own runtime adapters for every vendor.</w:t>
      </w:r>
    </w:p>
    <w:p>
      <w:pPr>
        <w:numPr>
          <w:ilvl w:val="0"/>
          <w:numId w:val="1002"/>
        </w:numPr>
        <w:pStyle w:val="Compact"/>
      </w:pPr>
      <w:r>
        <w:t xml:space="preserve">Paperclip’s specific agent templates (CEO, CMO, CTO, Engineer roles). AEOS’s role and title system is tenant-configured, not template-driven.</w:t>
      </w:r>
    </w:p>
    <w:p>
      <w:pPr>
        <w:numPr>
          <w:ilvl w:val="0"/>
          <w:numId w:val="1002"/>
        </w:numPr>
        <w:pStyle w:val="Compact"/>
      </w:pPr>
      <w:r>
        <w:t xml:space="preserve">Paperclip’s Cliphub company-template marketplace concept. AEOS has its own product roadmap for tenant deployment templates.</w:t>
      </w:r>
    </w:p>
    <w:p>
      <w:pPr>
        <w:numPr>
          <w:ilvl w:val="0"/>
          <w:numId w:val="1002"/>
        </w:numPr>
        <w:pStyle w:val="Compact"/>
      </w:pPr>
      <w:r>
        <w:t xml:space="preserve">Paperclip’s</w:t>
      </w:r>
      <w:r>
        <w:t xml:space="preserve"> </w:t>
      </w:r>
      <w:r>
        <w:t xml:space="preserve">“</w:t>
      </w:r>
      <w:r>
        <w:t xml:space="preserve">autonomous company</w:t>
      </w:r>
      <w:r>
        <w:t xml:space="preserve">”</w:t>
      </w:r>
      <w:r>
        <w:t xml:space="preserve"> </w:t>
      </w:r>
      <w:r>
        <w:t xml:space="preserve">narrative framing. AEOS’s narrative is enterprise workforce transformation, not autonomous micro-companies.</w:t>
      </w:r>
    </w:p>
    <w:bookmarkEnd w:id="28"/>
    <w:bookmarkStart w:id="29" w:name="engineering-delivery-plan-for-motion-a"/>
    <w:p>
      <w:pPr>
        <w:pStyle w:val="Heading3"/>
      </w:pPr>
      <w:r>
        <w:t xml:space="preserve">3.4 Engineering Delivery Plan for Motion A</w:t>
      </w:r>
    </w:p>
    <w:p>
      <w:pPr>
        <w:pStyle w:val="FirstParagraph"/>
      </w:pPr>
      <w:r>
        <w:t xml:space="preserve">Patterns are delivered in four two-week sprints.</w:t>
      </w:r>
    </w:p>
    <w:p>
      <w:pPr>
        <w:pStyle w:val="BodyText"/>
      </w:pPr>
      <w:r>
        <w:rPr>
          <w:bCs/>
          <w:b/>
        </w:rPr>
        <w:t xml:space="preserve">Sprint A1 (Weeks 1–2).</w:t>
      </w:r>
      <w:r>
        <w:t xml:space="preserve"> </w:t>
      </w:r>
      <w:r>
        <w:t xml:space="preserve">Pattern A1 (org-chart data model) and Pattern A7 (multi-tenant portfolio UX). Admin dashboard extension with hierarchical org-chart visualization. Actor Protobuf schema extension. Skills Authority endpoints for org-chart queries. Acceptance criteria: tenant admin can view all agents in a tenant as an org chart; MSP operator can view all tenants in a portfolio with isolation enforced.</w:t>
      </w:r>
    </w:p>
    <w:p>
      <w:pPr>
        <w:pStyle w:val="BodyText"/>
      </w:pPr>
      <w:r>
        <w:rPr>
          <w:bCs/>
          <w:b/>
        </w:rPr>
        <w:t xml:space="preserve">Sprint A2 (Weeks 3–4).</w:t>
      </w:r>
      <w:r>
        <w:t xml:space="preserve"> </w:t>
      </w:r>
      <w:r>
        <w:t xml:space="preserve">Pattern A2 (ticket-based task format) and Pattern A5 (SKILLS.md). Intent Classifier ticket-ingest endpoint. Admin dashboard conversation-history view. Skills Authority markdown import/export. CI/CD validation tooling. Acceptance criteria: a developer can submit a Paperclip-format ticket to AEOS and see the resulting execution with full conversation history; a developer can declare agent skills in SKILLS.md and round-trip through the production Skills Authority schema.</w:t>
      </w:r>
    </w:p>
    <w:p>
      <w:pPr>
        <w:pStyle w:val="BodyText"/>
      </w:pPr>
      <w:r>
        <w:rPr>
          <w:bCs/>
          <w:b/>
        </w:rPr>
        <w:t xml:space="preserve">Sprint A3 (Weeks 5–6).</w:t>
      </w:r>
      <w:r>
        <w:t xml:space="preserve"> </w:t>
      </w:r>
      <w:r>
        <w:t xml:space="preserve">Pattern A3 (heartbeats) and Pattern A4 (per-agent budgets). Instruction Runtime trigger-type extension. Cron-expression heartbeat support. BudgetPolicy schema and Ledger integration. Adapter Gateway pre-dispatch budget middleware. Admin dashboard budget panel. Acceptance criteria: a scheduled heartbeat wakes an agent on time and triggers a valid task flow; an agent that exceeds monthly budget is automatically blocked at the Adapter Gateway with clear audit trail.</w:t>
      </w:r>
    </w:p>
    <w:p>
      <w:pPr>
        <w:pStyle w:val="BodyText"/>
      </w:pPr>
      <w:r>
        <w:rPr>
          <w:bCs/>
          <w:b/>
        </w:rPr>
        <w:t xml:space="preserve">Sprint A4 (Weeks 7–8).</w:t>
      </w:r>
      <w:r>
        <w:t xml:space="preserve"> </w:t>
      </w:r>
      <w:r>
        <w:t xml:space="preserve">Pattern A6 (approval gates). Governance Service approval-gate logic. Admin dashboard approval-queue view. Mobile push notification integration. End-to-end integration testing across all seven absorbed patterns. MIT attribution documentation. Public acknowledgment post drafted for release. Acceptance criteria: tenant admin configures approval gates on sensitive actions; gated actions surface in the approval queue and cannot execute until approved; approvals are captured in the audit trail.</w:t>
      </w:r>
    </w:p>
    <w:p>
      <w:pPr>
        <w:pStyle w:val="BodyText"/>
      </w:pPr>
      <w:r>
        <w:t xml:space="preserve">Total engineering effort: 8 weeks, estimated 2–3 engineers working in parallel across frontend (React), backend services (Go and Python), and admin dashboard integration. This is absorbed into the existing Q3 2026 AEOS build phase as specified in the Core IP White Paper and does not extend the overall timeline.</w:t>
      </w:r>
    </w:p>
    <w:p>
      <w:r>
        <w:pict>
          <v:rect style="width:0;height:1.5pt" o:hralign="center" o:hrstd="t" o:hr="t"/>
        </w:pict>
      </w:r>
    </w:p>
    <w:bookmarkEnd w:id="29"/>
    <w:bookmarkEnd w:id="30"/>
    <w:bookmarkStart w:id="36" w:name="motion-b-vast.ai-dynamic-provisioning"/>
    <w:p>
      <w:pPr>
        <w:pStyle w:val="Heading2"/>
      </w:pPr>
      <w:r>
        <w:t xml:space="preserve">4. Motion B — Vast.ai Dynamic Provisioning</w:t>
      </w:r>
    </w:p>
    <w:bookmarkStart w:id="31" w:name="integration-architecture"/>
    <w:p>
      <w:pPr>
        <w:pStyle w:val="Heading3"/>
      </w:pPr>
      <w:r>
        <w:t xml:space="preserve">4.1 Integration Architecture</w:t>
      </w:r>
    </w:p>
    <w:p>
      <w:pPr>
        <w:pStyle w:val="FirstParagraph"/>
      </w:pPr>
      <w:r>
        <w:t xml:space="preserve">The Vast.ai integration extends the existing open-source runtime adapter at Layer 8 (Adapter Gateway). The open-source adapter already supports static endpoint mode (tenant-provided persistent endpoint). Two new provisioning modes are added:</w:t>
      </w:r>
    </w:p>
    <w:p>
      <w:pPr>
        <w:pStyle w:val="BodyText"/>
      </w:pPr>
      <w:r>
        <w:rPr>
          <w:bCs/>
          <w:b/>
        </w:rPr>
        <w:t xml:space="preserve">Vast.ai on-demand mode.</w:t>
      </w:r>
      <w:r>
        <w:t xml:space="preserve"> </w:t>
      </w:r>
      <w:r>
        <w:t xml:space="preserve">The Adapter Gateway provisions a fresh Vast.ai instance per task or per task batch via the Vast.ai REST API. Instance lifecycle: create via</w:t>
      </w:r>
      <w:r>
        <w:t xml:space="preserve"> </w:t>
      </w:r>
      <w:r>
        <w:rPr>
          <w:rStyle w:val="VerbatimChar"/>
        </w:rPr>
        <w:t xml:space="preserve">POST /api/v1/instances</w:t>
      </w:r>
      <w:r>
        <w:t xml:space="preserve"> </w:t>
      </w:r>
      <w:r>
        <w:t xml:space="preserve">with GPU type, disk size, Docker image (typically vllm/vllm-openai:latest), environment variables, and a model-serve command; poll for instance readiness; dispatch inference via the OpenAI-compatible API on the instance’s public endpoint; tear down the instance via</w:t>
      </w:r>
      <w:r>
        <w:t xml:space="preserve"> </w:t>
      </w:r>
      <w:r>
        <w:rPr>
          <w:rStyle w:val="VerbatimChar"/>
        </w:rPr>
        <w:t xml:space="preserve">DELETE /api/v1/instances/{id}</w:t>
      </w:r>
      <w:r>
        <w:t xml:space="preserve"> </w:t>
      </w:r>
      <w:r>
        <w:t xml:space="preserve">when the task or batch completes.</w:t>
      </w:r>
    </w:p>
    <w:p>
      <w:pPr>
        <w:pStyle w:val="BodyText"/>
      </w:pPr>
      <w:r>
        <w:rPr>
          <w:bCs/>
          <w:b/>
        </w:rPr>
        <w:t xml:space="preserve">Vast.ai reserved-pool mode.</w:t>
      </w:r>
      <w:r>
        <w:t xml:space="preserve"> </w:t>
      </w:r>
      <w:r>
        <w:t xml:space="preserve">The Adapter Gateway maintains a warm pool of Vast.ai instances sized to the tenant’s expected task throughput. A pool manager component tracks instance utilization and autoscale-to-zero after idle timeout (default 300 seconds). New instances are provisioned when queue depth exceeds pool capacity; instances are torn down when idle exceeds threshold. Reserved-pool mode amortizes the 60-second provisioning latency across many tasks and is the default mode for tenants with sustained open-source workload.</w:t>
      </w:r>
    </w:p>
    <w:p>
      <w:pPr>
        <w:pStyle w:val="BodyText"/>
      </w:pPr>
      <w:r>
        <w:t xml:space="preserve">Optionally, AEOS can interpose SkyPilot (the open-source multi-cloud abstraction from UC Berkeley) between the Adapter Gateway and Vast.ai. SkyPilot enables seamless failover across multiple GPU marketplaces (Vast.ai, RunPod, SaladCloud, AWS spot, Azure spot) based on availability and price. This is a configuration option rather than the default path; the default is direct Vast.ai integration for simplicity.</w:t>
      </w:r>
    </w:p>
    <w:bookmarkEnd w:id="31"/>
    <w:bookmarkStart w:id="32" w:name="vast.ai-configuration-profile-per-tenant"/>
    <w:p>
      <w:pPr>
        <w:pStyle w:val="Heading3"/>
      </w:pPr>
      <w:r>
        <w:t xml:space="preserve">4.2 Vast.ai Configuration Profile per Tenant</w:t>
      </w:r>
    </w:p>
    <w:p>
      <w:pPr>
        <w:pStyle w:val="FirstParagraph"/>
      </w:pPr>
      <w:r>
        <w:t xml:space="preserve">Every AEOS tenant using the Vast.ai-backed open-source adapter has a configuration profile specifying:</w:t>
      </w:r>
    </w:p>
    <w:p>
      <w:pPr>
        <w:numPr>
          <w:ilvl w:val="0"/>
          <w:numId w:val="1003"/>
        </w:numPr>
        <w:pStyle w:val="Compact"/>
      </w:pPr>
      <w:r>
        <w:rPr>
          <w:bCs/>
          <w:b/>
        </w:rPr>
        <w:t xml:space="preserve">Provisioning mode:</w:t>
      </w:r>
      <w:r>
        <w:t xml:space="preserve"> </w:t>
      </w:r>
      <w:r>
        <w:t xml:space="preserve">static | vast_on_demand | vast_reserved_pool</w:t>
      </w:r>
    </w:p>
    <w:p>
      <w:pPr>
        <w:numPr>
          <w:ilvl w:val="0"/>
          <w:numId w:val="1003"/>
        </w:numPr>
        <w:pStyle w:val="Compact"/>
      </w:pPr>
      <w:r>
        <w:rPr>
          <w:bCs/>
          <w:b/>
        </w:rPr>
        <w:t xml:space="preserve">GPU type preference:</w:t>
      </w:r>
      <w:r>
        <w:t xml:space="preserve"> </w:t>
      </w:r>
      <w:r>
        <w:t xml:space="preserve">ordered list (H100, A100-80GB, A100-40GB, 4090, 3090, etc.)</w:t>
      </w:r>
    </w:p>
    <w:p>
      <w:pPr>
        <w:numPr>
          <w:ilvl w:val="0"/>
          <w:numId w:val="1003"/>
        </w:numPr>
        <w:pStyle w:val="Compact"/>
      </w:pPr>
      <w:r>
        <w:rPr>
          <w:bCs/>
          <w:b/>
        </w:rPr>
        <w:t xml:space="preserve">Pricing tier:</w:t>
      </w:r>
      <w:r>
        <w:t xml:space="preserve"> </w:t>
      </w:r>
      <w:r>
        <w:t xml:space="preserve">on_demand | interruptible | reserved</w:t>
      </w:r>
    </w:p>
    <w:p>
      <w:pPr>
        <w:numPr>
          <w:ilvl w:val="0"/>
          <w:numId w:val="1003"/>
        </w:numPr>
        <w:pStyle w:val="Compact"/>
      </w:pPr>
      <w:r>
        <w:rPr>
          <w:bCs/>
          <w:b/>
        </w:rPr>
        <w:t xml:space="preserve">Datacenter filter:</w:t>
      </w:r>
      <w:r>
        <w:t xml:space="preserve"> </w:t>
      </w:r>
      <w:r>
        <w:t xml:space="preserve">any | verified_only | iso_27001 | tier_3_or_4</w:t>
      </w:r>
    </w:p>
    <w:p>
      <w:pPr>
        <w:numPr>
          <w:ilvl w:val="0"/>
          <w:numId w:val="1003"/>
        </w:numPr>
        <w:pStyle w:val="Compact"/>
      </w:pPr>
      <w:r>
        <w:rPr>
          <w:bCs/>
          <w:b/>
        </w:rPr>
        <w:t xml:space="preserve">Region filter:</w:t>
      </w:r>
      <w:r>
        <w:t xml:space="preserve"> </w:t>
      </w:r>
      <w:r>
        <w:t xml:space="preserve">ISO country codes or regions</w:t>
      </w:r>
    </w:p>
    <w:p>
      <w:pPr>
        <w:numPr>
          <w:ilvl w:val="0"/>
          <w:numId w:val="1003"/>
        </w:numPr>
        <w:pStyle w:val="Compact"/>
      </w:pPr>
      <w:r>
        <w:rPr>
          <w:bCs/>
          <w:b/>
        </w:rPr>
        <w:t xml:space="preserve">Maximum hourly cost cap:</w:t>
      </w:r>
      <w:r>
        <w:t xml:space="preserve"> </w:t>
      </w:r>
      <w:r>
        <w:t xml:space="preserve">dollar limit per instance per hour</w:t>
      </w:r>
    </w:p>
    <w:p>
      <w:pPr>
        <w:numPr>
          <w:ilvl w:val="0"/>
          <w:numId w:val="1003"/>
        </w:numPr>
        <w:pStyle w:val="Compact"/>
      </w:pPr>
      <w:r>
        <w:rPr>
          <w:bCs/>
          <w:b/>
        </w:rPr>
        <w:t xml:space="preserve">Reserved pool parameters:</w:t>
      </w:r>
      <w:r>
        <w:t xml:space="preserve"> </w:t>
      </w:r>
      <w:r>
        <w:t xml:space="preserve">minimum instance count, maximum instance count, idle timeout seconds</w:t>
      </w:r>
    </w:p>
    <w:p>
      <w:pPr>
        <w:numPr>
          <w:ilvl w:val="0"/>
          <w:numId w:val="1003"/>
        </w:numPr>
        <w:pStyle w:val="Compact"/>
      </w:pPr>
      <w:r>
        <w:rPr>
          <w:bCs/>
          <w:b/>
        </w:rPr>
        <w:t xml:space="preserve">Model repository:</w:t>
      </w:r>
      <w:r>
        <w:t xml:space="preserve"> </w:t>
      </w:r>
      <w:r>
        <w:t xml:space="preserve">Hugging Face model ID or private model URI</w:t>
      </w:r>
    </w:p>
    <w:p>
      <w:pPr>
        <w:numPr>
          <w:ilvl w:val="0"/>
          <w:numId w:val="1003"/>
        </w:numPr>
        <w:pStyle w:val="Compact"/>
      </w:pPr>
      <w:r>
        <w:rPr>
          <w:bCs/>
          <w:b/>
        </w:rPr>
        <w:t xml:space="preserve">vLLM configuration:</w:t>
      </w:r>
      <w:r>
        <w:t xml:space="preserve"> </w:t>
      </w:r>
      <w:r>
        <w:t xml:space="preserve">max_model_len, gpu_memory_utilization, reasoning_parser, etc.</w:t>
      </w:r>
    </w:p>
    <w:p>
      <w:pPr>
        <w:pStyle w:val="FirstParagraph"/>
      </w:pPr>
      <w:r>
        <w:t xml:space="preserve">The default profile for regulated enterprise tenants is: reserved_pool mode, H100 with A100-80GB fallback, on_demand pricing, verified_only datacenter filter with iso_27001 or tier_3_or_4 required, region filter restricted to tenant’s authorized regions per their per-Boundary data-residency rules, maximum hourly cost cap configured at 150 percent of the expected market rate, reserved pool of 2 minimum to 10 maximum instances with 300-second idle timeout.</w:t>
      </w:r>
    </w:p>
    <w:bookmarkEnd w:id="32"/>
    <w:bookmarkStart w:id="33" w:name="integration-with-the-uef-scoring"/>
    <w:p>
      <w:pPr>
        <w:pStyle w:val="Heading3"/>
      </w:pPr>
      <w:r>
        <w:t xml:space="preserve">4.3 Integration with the UEF Scoring</w:t>
      </w:r>
    </w:p>
    <w:p>
      <w:pPr>
        <w:pStyle w:val="FirstParagraph"/>
      </w:pPr>
      <w:r>
        <w:t xml:space="preserve">The Vast.ai integration affects three of the UEF’s eight scoring dimensions when the candidate path is an open-source runtime with Vast.ai backend:</w:t>
      </w:r>
    </w:p>
    <w:p>
      <w:pPr>
        <w:numPr>
          <w:ilvl w:val="0"/>
          <w:numId w:val="1004"/>
        </w:numPr>
        <w:pStyle w:val="Compact"/>
      </w:pPr>
      <w:r>
        <w:rPr>
          <w:bCs/>
          <w:b/>
        </w:rPr>
        <w:t xml:space="preserve">Runtime Fit.</w:t>
      </w:r>
      <w:r>
        <w:t xml:space="preserve"> </w:t>
      </w:r>
      <w:r>
        <w:t xml:space="preserve">Live Vast.ai pricing queried via the marketplace API at scoring time provides current cost-per-task estimates that factor into the latency-and-cost fit against the task’s budgets.</w:t>
      </w:r>
    </w:p>
    <w:p>
      <w:pPr>
        <w:numPr>
          <w:ilvl w:val="0"/>
          <w:numId w:val="1004"/>
        </w:numPr>
        <w:pStyle w:val="Compact"/>
      </w:pPr>
      <w:r>
        <w:rPr>
          <w:bCs/>
          <w:b/>
        </w:rPr>
        <w:t xml:space="preserve">Economic Value.</w:t>
      </w:r>
      <w:r>
        <w:t xml:space="preserve"> </w:t>
      </w:r>
      <w:r>
        <w:t xml:space="preserve">Current Vast.ai pricing is the denominator of the cost calculation. Tasks whose commercial API cost (on Anthropic, OpenAI, Google, Microsoft) exceeds 5-6x the Vast.ai-backed open-source equivalent will typically score open-source higher on Economic Value, all else equal.</w:t>
      </w:r>
    </w:p>
    <w:p>
      <w:pPr>
        <w:numPr>
          <w:ilvl w:val="0"/>
          <w:numId w:val="1004"/>
        </w:numPr>
        <w:pStyle w:val="Compact"/>
      </w:pPr>
      <w:r>
        <w:rPr>
          <w:bCs/>
          <w:b/>
        </w:rPr>
        <w:t xml:space="preserve">Risk Penalty.</w:t>
      </w:r>
      <w:r>
        <w:t xml:space="preserve"> </w:t>
      </w:r>
      <w:r>
        <w:t xml:space="preserve">Vast.ai instances in the verified-datacenter tier carry no additional risk penalty beyond the general open-source runtime profile. Vast.ai instances in the consumer-GPU tier carry a moderate additional risk penalty for regulated tasks because of the lower reliability and auditability of consumer-hosted infrastructure.</w:t>
      </w:r>
    </w:p>
    <w:bookmarkEnd w:id="33"/>
    <w:bookmarkStart w:id="34" w:name="observability-and-audit-integration"/>
    <w:p>
      <w:pPr>
        <w:pStyle w:val="Heading3"/>
      </w:pPr>
      <w:r>
        <w:t xml:space="preserve">4.4 Observability and Audit Integration</w:t>
      </w:r>
    </w:p>
    <w:p>
      <w:pPr>
        <w:pStyle w:val="FirstParagraph"/>
      </w:pPr>
      <w:r>
        <w:t xml:space="preserve">Every Vast.ai-provisioned instance used for task execution writes provisioning metadata into the canonical event stream at Layer 10: instance ID, host datacenter identifier and region, certification tier, GPU type and count, spot price at provision time, creation timestamp, teardown timestamp, total cost, total inference tokens, success indicator. The LedgerRow at Layer 11 references the Vast.ai instance metadata so every execution’s audit trail traces back to the specific infrastructure that ran the task.</w:t>
      </w:r>
    </w:p>
    <w:p>
      <w:pPr>
        <w:pStyle w:val="BodyText"/>
      </w:pPr>
      <w:r>
        <w:t xml:space="preserve">For regulated tenants, the Audit and Attestation service at Layer 12 includes Vast.ai instance metadata in the signed evidence bundle, allowing regulators, works councils, and auditors to verify the physical infrastructure on which every task ran, the jurisdiction of that infrastructure, and the certification status of the hosting datacenter.</w:t>
      </w:r>
    </w:p>
    <w:bookmarkEnd w:id="34"/>
    <w:bookmarkStart w:id="35" w:name="engineering-delivery-plan-for-motion-b"/>
    <w:p>
      <w:pPr>
        <w:pStyle w:val="Heading3"/>
      </w:pPr>
      <w:r>
        <w:t xml:space="preserve">4.5 Engineering Delivery Plan for Motion B</w:t>
      </w:r>
    </w:p>
    <w:p>
      <w:pPr>
        <w:pStyle w:val="FirstParagraph"/>
      </w:pPr>
      <w:r>
        <w:t xml:space="preserve">Motion B is delivered in three two-week sprints, running in parallel with Motion A.</w:t>
      </w:r>
    </w:p>
    <w:p>
      <w:pPr>
        <w:pStyle w:val="BodyText"/>
      </w:pPr>
      <w:r>
        <w:rPr>
          <w:bCs/>
          <w:b/>
        </w:rPr>
        <w:t xml:space="preserve">Sprint B1 (Weeks 1–2).</w:t>
      </w:r>
      <w:r>
        <w:t xml:space="preserve"> </w:t>
      </w:r>
      <w:r>
        <w:t xml:space="preserve">Vast.ai API client implementation in Go within the existing open-source runtime adapter. Instance lifecycle (create, query, destroy, list). Configuration profile schema and tenant-scoped storage. Acceptance criteria: the Adapter Gateway can provision a fresh Vast.ai instance in under 90 seconds end-to-end, dispatch a test inference through vLLM’s OpenAI-compatible API, verify the result, and tear the instance down.</w:t>
      </w:r>
    </w:p>
    <w:p>
      <w:pPr>
        <w:pStyle w:val="BodyText"/>
      </w:pPr>
      <w:r>
        <w:rPr>
          <w:bCs/>
          <w:b/>
        </w:rPr>
        <w:t xml:space="preserve">Sprint B2 (Weeks 3–4).</w:t>
      </w:r>
      <w:r>
        <w:t xml:space="preserve"> </w:t>
      </w:r>
      <w:r>
        <w:t xml:space="preserve">Reserved-pool mode implementation. Pool manager component with autoscaling logic. Idle-timeout teardown. Pricing-query caching. Acceptance criteria: a tenant configured with reserved_pool mode maintains a warm pool at target capacity with autoscale-to-zero after idle timeout; new task arrival on a cold pool incurs 60-second provisioning latency; new task arrival on a warm pool incurs under 100ms dispatch latency.</w:t>
      </w:r>
    </w:p>
    <w:p>
      <w:pPr>
        <w:pStyle w:val="BodyText"/>
      </w:pPr>
      <w:r>
        <w:rPr>
          <w:bCs/>
          <w:b/>
        </w:rPr>
        <w:t xml:space="preserve">Sprint B3 (Weeks 5–6).</w:t>
      </w:r>
      <w:r>
        <w:t xml:space="preserve"> </w:t>
      </w:r>
      <w:r>
        <w:t xml:space="preserve">Observability integration. Canonical event stream contributions for Vast.ai metadata. Ledger schema extensions for instance traceback. Audit evidence bundle integration. SkyPilot optional backend integration as a configuration choice. End-to-end integration testing including failure modes (Vast.ai API unavailable, instance provisioning timeout, inference mid-execution failure). Acceptance criteria: every Vast.ai-backed task execution produces a complete LedgerRow with instance metadata; the signed attestation artifact from Layer 12 includes Vast.ai infrastructure provenance; tenant dashboard displays per-task cost with the commercial-API-equivalent comparison.</w:t>
      </w:r>
    </w:p>
    <w:p>
      <w:pPr>
        <w:pStyle w:val="BodyText"/>
      </w:pPr>
      <w:r>
        <w:t xml:space="preserve">Total engineering effort: 6 weeks, estimated 1–2 engineers working on the Go-side Adapter Gateway and associated services. This fits within the existing Q3 2026 AEOS build phase.</w:t>
      </w:r>
    </w:p>
    <w:p>
      <w:r>
        <w:pict>
          <v:rect style="width:0;height:1.5pt" o:hralign="center" o:hrstd="t" o:hr="t"/>
        </w:pict>
      </w:r>
    </w:p>
    <w:bookmarkEnd w:id="35"/>
    <w:bookmarkEnd w:id="36"/>
    <w:bookmarkStart w:id="45" w:name="bis.-motion-c-three-tier-eval-harness"/>
    <w:p>
      <w:pPr>
        <w:pStyle w:val="Heading2"/>
      </w:pPr>
      <w:r>
        <w:t xml:space="preserve">4bis. Motion C — Three-Tier Eval Harness</w:t>
      </w:r>
    </w:p>
    <w:bookmarkStart w:id="37" w:name="bis.1-strategic-context"/>
    <w:p>
      <w:pPr>
        <w:pStyle w:val="Heading3"/>
      </w:pPr>
      <w:r>
        <w:t xml:space="preserve">4bis.1 Strategic Context</w:t>
      </w:r>
    </w:p>
    <w:p>
      <w:pPr>
        <w:pStyle w:val="FirstParagraph"/>
      </w:pPr>
      <w:r>
        <w:t xml:space="preserve">Every production AI deployment today trusts the vendor’s self-reported success flag as the outcome signal. This is not safe. A vendor returns</w:t>
      </w:r>
      <w:r>
        <w:t xml:space="preserve"> </w:t>
      </w:r>
      <w:r>
        <w:t xml:space="preserve">“</w:t>
      </w:r>
      <w:r>
        <w:t xml:space="preserve">success</w:t>
      </w:r>
      <w:r>
        <w:t xml:space="preserve">”</w:t>
      </w:r>
      <w:r>
        <w:t xml:space="preserve"> </w:t>
      </w:r>
      <w:r>
        <w:t xml:space="preserve">when the API call completes without error, not when the output meets enterprise standards. An agent that produces fluent but factually incorrect, off-brand, or non-compliant output returns success. Without an explicit evaluation pass, that false success propagates into the Execution Economic Ledger, corrupts the three deltas written back to rPotential (gsti_delta, uop_delta, coordination_delta), and degrades every subsequent routing decision the UEF makes. This is a reliability gap in the AEOS architecture as originally specified, and Motion C closes it.</w:t>
      </w:r>
    </w:p>
    <w:p>
      <w:pPr>
        <w:pStyle w:val="BodyText"/>
      </w:pPr>
      <w:r>
        <w:t xml:space="preserve">Motion C is also the synthesis of the existing AEOS core IP assets applied to the evaluation problem. The GSTI calculation determines when human judgment is required versus when automated evaluation suffices. The Coordination Tax minimizes the organizational friction of human evaluator assignment. The Skills Authority authorizes specific evaluators for specific skills. The per-Boundary governance enforces jurisdictional constraints on who can evaluate what. The rPotential UoP signal identifies the specific human whose readiness profile makes them the correct evaluator at this specific moment. The Execution Economic Ledger records the eval-graded outcome. Every core IP asset has a role in Motion C; the Eval Harness is how those assets deliver trustworthy outcome signals.</w:t>
      </w:r>
    </w:p>
    <w:bookmarkEnd w:id="37"/>
    <w:bookmarkStart w:id="38" w:name="bis.2-technical-architecture"/>
    <w:p>
      <w:pPr>
        <w:pStyle w:val="Heading3"/>
      </w:pPr>
      <w:r>
        <w:t xml:space="preserve">4bis.2 Technical Architecture</w:t>
      </w:r>
    </w:p>
    <w:p>
      <w:pPr>
        <w:pStyle w:val="FirstParagraph"/>
      </w:pPr>
      <w:r>
        <w:t xml:space="preserve">The Eval Harness is implemented as an extension to the Ledger Service (Go, port 8006, ClickHouse) rather than as a new service. Three tiers run with distinct latency and compute profiles.</w:t>
      </w:r>
    </w:p>
    <w:p>
      <w:pPr>
        <w:pStyle w:val="BodyText"/>
      </w:pPr>
      <w:r>
        <w:rPr>
          <w:bCs/>
          <w:b/>
        </w:rPr>
        <w:t xml:space="preserve">Tier 1 — Format Compliance.</w:t>
      </w:r>
      <w:r>
        <w:t xml:space="preserve"> </w:t>
      </w:r>
      <w:r>
        <w:t xml:space="preserve">In-process evaluation during telemetry ingestion. Runs in milliseconds. Deterministic rule engine against structural criteria:</w:t>
      </w:r>
    </w:p>
    <w:p>
      <w:pPr>
        <w:numPr>
          <w:ilvl w:val="0"/>
          <w:numId w:val="1005"/>
        </w:numPr>
        <w:pStyle w:val="Compact"/>
      </w:pPr>
      <w:r>
        <w:t xml:space="preserve">Length bounds (min/max character count, word count, token count as appropriate per skill)</w:t>
      </w:r>
    </w:p>
    <w:p>
      <w:pPr>
        <w:numPr>
          <w:ilvl w:val="0"/>
          <w:numId w:val="1005"/>
        </w:numPr>
        <w:pStyle w:val="Compact"/>
      </w:pPr>
      <w:r>
        <w:t xml:space="preserve">Required-field presence (for structured output skills)</w:t>
      </w:r>
    </w:p>
    <w:p>
      <w:pPr>
        <w:numPr>
          <w:ilvl w:val="0"/>
          <w:numId w:val="1005"/>
        </w:numPr>
        <w:pStyle w:val="Compact"/>
      </w:pPr>
      <w:r>
        <w:t xml:space="preserve">JSON schema validation (for API-response skills)</w:t>
      </w:r>
    </w:p>
    <w:p>
      <w:pPr>
        <w:numPr>
          <w:ilvl w:val="0"/>
          <w:numId w:val="1005"/>
        </w:numPr>
        <w:pStyle w:val="Compact"/>
      </w:pPr>
      <w:r>
        <w:t xml:space="preserve">Regex pattern matching (for format-constrained outputs like email addresses, phone numbers, case IDs)</w:t>
      </w:r>
    </w:p>
    <w:p>
      <w:pPr>
        <w:numPr>
          <w:ilvl w:val="0"/>
          <w:numId w:val="1005"/>
        </w:numPr>
        <w:pStyle w:val="Compact"/>
      </w:pPr>
      <w:r>
        <w:t xml:space="preserve">Citation format validation (for compliance and research skills)</w:t>
      </w:r>
    </w:p>
    <w:p>
      <w:pPr>
        <w:numPr>
          <w:ilvl w:val="0"/>
          <w:numId w:val="1005"/>
        </w:numPr>
        <w:pStyle w:val="Compact"/>
      </w:pPr>
      <w:r>
        <w:t xml:space="preserve">Structural integrity (valid markdown, valid HTML, valid XML as appropriate)</w:t>
      </w:r>
    </w:p>
    <w:p>
      <w:pPr>
        <w:pStyle w:val="FirstParagraph"/>
      </w:pPr>
      <w:r>
        <w:t xml:space="preserve">Produces a FormatComplianceResult Protobuf message with a pass/fail boolean, a list of failed rule identifiers, and a per-rule failure description suitable for surfacing in the admin dashboard. Approximately 60-70% of failed outputs are filtered here before any downstream layer processes them.</w:t>
      </w:r>
    </w:p>
    <w:p>
      <w:pPr>
        <w:pStyle w:val="BodyText"/>
      </w:pPr>
      <w:r>
        <w:rPr>
          <w:bCs/>
          <w:b/>
        </w:rPr>
        <w:t xml:space="preserve">Tier 2 — Factual Accuracy.</w:t>
      </w:r>
      <w:r>
        <w:t xml:space="preserve"> </w:t>
      </w:r>
      <w:r>
        <w:t xml:space="preserve">Asynchronous evaluation against ground truth, correlated back to LedgerRows via execution_id. Four verification mechanisms:</w:t>
      </w:r>
    </w:p>
    <w:p>
      <w:pPr>
        <w:numPr>
          <w:ilvl w:val="0"/>
          <w:numId w:val="1006"/>
        </w:numPr>
        <w:pStyle w:val="Compact"/>
      </w:pPr>
      <w:r>
        <w:t xml:space="preserve">Database cross-reference against enterprise systems of record (customer records, contract terms, pricing, inventory) via the Enterprise Knowledge Graph at Layer 5</w:t>
      </w:r>
    </w:p>
    <w:p>
      <w:pPr>
        <w:numPr>
          <w:ilvl w:val="0"/>
          <w:numId w:val="1006"/>
        </w:numPr>
        <w:pStyle w:val="Compact"/>
      </w:pPr>
      <w:r>
        <w:t xml:space="preserve">Knowledge-graph query against structured facts (dates, entities, relationships)</w:t>
      </w:r>
    </w:p>
    <w:p>
      <w:pPr>
        <w:numPr>
          <w:ilvl w:val="0"/>
          <w:numId w:val="1006"/>
        </w:numPr>
        <w:pStyle w:val="Compact"/>
      </w:pPr>
      <w:r>
        <w:t xml:space="preserve">API-backed fact verification (regulatory citation lookup, real-time pricing APIs, address validation)</w:t>
      </w:r>
    </w:p>
    <w:p>
      <w:pPr>
        <w:numPr>
          <w:ilvl w:val="0"/>
          <w:numId w:val="1006"/>
        </w:numPr>
        <w:pStyle w:val="Compact"/>
      </w:pPr>
      <w:r>
        <w:t xml:space="preserve">LLM-as-judge evaluation where a second model — typically a different runtime vendor than the executing vendor for independence — grades the first model’s output against a structured rubric</w:t>
      </w:r>
    </w:p>
    <w:p>
      <w:pPr>
        <w:pStyle w:val="FirstParagraph"/>
      </w:pPr>
      <w:r>
        <w:t xml:space="preserve">Produces a FactualAccuracyResult Protobuf message with a pass/fail/uncertain enum, a confidence score, a list of specific assertions checked with their verification outcomes, and the verification mechanism used for each assertion. Runs in hundreds of milliseconds to seconds. Tier 2 rubrics are skill-specific and declared in the Skills Authority.</w:t>
      </w:r>
    </w:p>
    <w:p>
      <w:pPr>
        <w:pStyle w:val="BodyText"/>
      </w:pPr>
      <w:r>
        <w:rPr>
          <w:bCs/>
          <w:b/>
        </w:rPr>
        <w:t xml:space="preserve">Tier 3 — Quality Judgment.</w:t>
      </w:r>
      <w:r>
        <w:t xml:space="preserve"> </w:t>
      </w:r>
      <w:r>
        <w:t xml:space="preserve">Human-routed evaluation. Dispatched through the Adapter Gateway to the Human Adapter using the same dispatch mechanism that hybrid_human execution paths use. Critical difference from naive</w:t>
      </w:r>
      <w:r>
        <w:t xml:space="preserve"> </w:t>
      </w:r>
      <w:r>
        <w:t xml:space="preserve">“</w:t>
      </w:r>
      <w:r>
        <w:t xml:space="preserve">send to a senior person</w:t>
      </w:r>
      <w:r>
        <w:t xml:space="preserve">”</w:t>
      </w:r>
      <w:r>
        <w:t xml:space="preserve">: the evaluator is selected using the same multi-dimensional scoring that the UEF uses for execution path selection.</w:t>
      </w:r>
    </w:p>
    <w:p>
      <w:pPr>
        <w:pStyle w:val="BodyText"/>
      </w:pPr>
      <w:r>
        <w:t xml:space="preserve">The evaluator selection algorithm:</w:t>
      </w:r>
    </w:p>
    <w:p>
      <w:pPr>
        <w:numPr>
          <w:ilvl w:val="0"/>
          <w:numId w:val="1007"/>
        </w:numPr>
        <w:pStyle w:val="Compact"/>
      </w:pPr>
      <w:r>
        <w:t xml:space="preserve">The Skills Authority returns the set of human actors authorized to evaluate outputs of the skill in question (authorization is distinct from execution authorization —</w:t>
      </w:r>
      <w:r>
        <w:t xml:space="preserve"> </w:t>
      </w:r>
      <w:r>
        <w:t xml:space="preserve">“</w:t>
      </w:r>
      <w:r>
        <w:t xml:space="preserve">who can evaluate a compliance analysis</w:t>
      </w:r>
      <w:r>
        <w:t xml:space="preserve">”</w:t>
      </w:r>
      <w:r>
        <w:t xml:space="preserve"> </w:t>
      </w:r>
      <w:r>
        <w:t xml:space="preserve">is a different skill-authority question from</w:t>
      </w:r>
      <w:r>
        <w:t xml:space="preserve"> </w:t>
      </w:r>
      <w:r>
        <w:t xml:space="preserve">“</w:t>
      </w:r>
      <w:r>
        <w:t xml:space="preserve">who can produce a compliance analysis</w:t>
      </w:r>
      <w:r>
        <w:t xml:space="preserve">”</w:t>
      </w:r>
      <w:r>
        <w:t xml:space="preserve">)</w:t>
      </w:r>
    </w:p>
    <w:p>
      <w:pPr>
        <w:numPr>
          <w:ilvl w:val="0"/>
          <w:numId w:val="1007"/>
        </w:numPr>
        <w:pStyle w:val="Compact"/>
      </w:pPr>
      <w:r>
        <w:t xml:space="preserve">The rPotential UoP signal returns current readiness, skill match, availability, and fatigue for each authorized evaluator</w:t>
      </w:r>
    </w:p>
    <w:p>
      <w:pPr>
        <w:numPr>
          <w:ilvl w:val="0"/>
          <w:numId w:val="1007"/>
        </w:numPr>
        <w:pStyle w:val="Compact"/>
      </w:pPr>
      <w:r>
        <w:t xml:space="preserve">The Coordination Tax calculator returns the organizational friction cost for each candidate evaluator assignment</w:t>
      </w:r>
    </w:p>
    <w:p>
      <w:pPr>
        <w:numPr>
          <w:ilvl w:val="0"/>
          <w:numId w:val="1007"/>
        </w:numPr>
        <w:pStyle w:val="Compact"/>
      </w:pPr>
      <w:r>
        <w:t xml:space="preserve">The per-Boundary governance returns jurisdictional constraints (EU-resident evaluator required for EU-classified task, etc.)</w:t>
      </w:r>
    </w:p>
    <w:p>
      <w:pPr>
        <w:numPr>
          <w:ilvl w:val="0"/>
          <w:numId w:val="1007"/>
        </w:numPr>
        <w:pStyle w:val="Compact"/>
      </w:pPr>
      <w:r>
        <w:t xml:space="preserve">The scoring engine selects the evaluator whose weighted combination of UoP readiness, skill match, Coordination Tax minimization, and jurisdictional fit is optimal</w:t>
      </w:r>
    </w:p>
    <w:p>
      <w:pPr>
        <w:numPr>
          <w:ilvl w:val="0"/>
          <w:numId w:val="1007"/>
        </w:numPr>
        <w:pStyle w:val="Compact"/>
      </w:pPr>
      <w:r>
        <w:t xml:space="preserve">The selected evaluator receives the task in their preferred evaluation surface (admin dashboard, mobile notification, scheduled review session, depending on tenant configuration)</w:t>
      </w:r>
    </w:p>
    <w:p>
      <w:pPr>
        <w:pStyle w:val="FirstParagraph"/>
      </w:pPr>
      <w:r>
        <w:t xml:space="preserve">Produces a QualityJudgmentResult Protobuf message with a pass/conditional-pass/fail enum, structured feedback captured in canonical form (not freetext), evaluator identifier, evaluation timestamp, and time-to-eval duration. Captured feedback is used both to update the LedgerRow and to feed the continuous improvement flywheel at Layer 9.</w:t>
      </w:r>
    </w:p>
    <w:bookmarkEnd w:id="38"/>
    <w:bookmarkStart w:id="39" w:name="X4f2626c89e1f8f97c3d48980550128913159cb0"/>
    <w:p>
      <w:pPr>
        <w:pStyle w:val="Heading3"/>
      </w:pPr>
      <w:r>
        <w:t xml:space="preserve">4bis.3 Eval Criteria Declaration in the Skills Authority</w:t>
      </w:r>
    </w:p>
    <w:p>
      <w:pPr>
        <w:pStyle w:val="FirstParagraph"/>
      </w:pPr>
      <w:r>
        <w:t xml:space="preserve">Each Skill in the Skills Authority registry gains an</w:t>
      </w:r>
      <w:r>
        <w:t xml:space="preserve"> </w:t>
      </w:r>
      <w:r>
        <w:rPr>
          <w:rStyle w:val="VerbatimChar"/>
        </w:rPr>
        <w:t xml:space="preserve">eval_criteria</w:t>
      </w:r>
      <w:r>
        <w:t xml:space="preserve"> </w:t>
      </w:r>
      <w:r>
        <w:t xml:space="preserve">field declaring which Tier 1, Tier 2, and Tier 3 rubrics apply to outputs of that skill:</w:t>
      </w:r>
    </w:p>
    <w:p>
      <w:pPr>
        <w:pStyle w:val="SourceCode"/>
      </w:pPr>
      <w:r>
        <w:rPr>
          <w:rStyle w:val="KeywordTok"/>
        </w:rPr>
        <w:t xml:space="preserve">message</w:t>
      </w:r>
      <w:r>
        <w:rPr>
          <w:rStyle w:val="NormalTok"/>
        </w:rPr>
        <w:t xml:space="preserve"> EvalCriteria {</w:t>
      </w:r>
      <w:r>
        <w:br/>
      </w:r>
      <w:r>
        <w:rPr>
          <w:rStyle w:val="NormalTok"/>
        </w:rPr>
        <w:t xml:space="preserve">  </w:t>
      </w:r>
      <w:r>
        <w:rPr>
          <w:rStyle w:val="KeywordTok"/>
        </w:rPr>
        <w:t xml:space="preserve">repeated</w:t>
      </w:r>
      <w:r>
        <w:rPr>
          <w:rStyle w:val="NormalTok"/>
        </w:rPr>
        <w:t xml:space="preserve"> FormatRule tier1_format_rules = </w:t>
      </w:r>
      <w:r>
        <w:rPr>
          <w:rStyle w:val="DecValTok"/>
        </w:rPr>
        <w:t xml:space="preserve">1</w:t>
      </w:r>
      <w:r>
        <w:rPr>
          <w:rStyle w:val="NormalTok"/>
        </w:rPr>
        <w:t xml:space="preserve">;</w:t>
      </w:r>
      <w:r>
        <w:br/>
      </w:r>
      <w:r>
        <w:rPr>
          <w:rStyle w:val="NormalTok"/>
        </w:rPr>
        <w:t xml:space="preserve">  </w:t>
      </w:r>
      <w:r>
        <w:rPr>
          <w:rStyle w:val="KeywordTok"/>
        </w:rPr>
        <w:t xml:space="preserve">repeated</w:t>
      </w:r>
      <w:r>
        <w:rPr>
          <w:rStyle w:val="NormalTok"/>
        </w:rPr>
        <w:t xml:space="preserve"> FactualCheck tier2_factual_checks = </w:t>
      </w:r>
      <w:r>
        <w:rPr>
          <w:rStyle w:val="DecValTok"/>
        </w:rPr>
        <w:t xml:space="preserve">2</w:t>
      </w:r>
      <w:r>
        <w:rPr>
          <w:rStyle w:val="NormalTok"/>
        </w:rPr>
        <w:t xml:space="preserve">;</w:t>
      </w:r>
      <w:r>
        <w:br/>
      </w:r>
      <w:r>
        <w:rPr>
          <w:rStyle w:val="NormalTok"/>
        </w:rPr>
        <w:t xml:space="preserve">  QualityJudgmentRubric tier3_quality_rubric = </w:t>
      </w:r>
      <w:r>
        <w:rPr>
          <w:rStyle w:val="DecValTok"/>
        </w:rPr>
        <w:t xml:space="preserve">3</w:t>
      </w:r>
      <w:r>
        <w:rPr>
          <w:rStyle w:val="NormalTok"/>
        </w:rPr>
        <w:t xml:space="preserve">;</w:t>
      </w:r>
      <w:r>
        <w:br/>
      </w:r>
      <w:r>
        <w:rPr>
          <w:rStyle w:val="NormalTok"/>
        </w:rPr>
        <w:t xml:space="preserve">  </w:t>
      </w:r>
      <w:r>
        <w:rPr>
          <w:rStyle w:val="DataTypeTok"/>
        </w:rPr>
        <w:t xml:space="preserve">float</w:t>
      </w:r>
      <w:r>
        <w:rPr>
          <w:rStyle w:val="NormalTok"/>
        </w:rPr>
        <w:t xml:space="preserve"> tier3_sampling_rate = </w:t>
      </w:r>
      <w:r>
        <w:rPr>
          <w:rStyle w:val="DecValTok"/>
        </w:rPr>
        <w:t xml:space="preserve">4</w:t>
      </w:r>
      <w:r>
        <w:rPr>
          <w:rStyle w:val="NormalTok"/>
        </w:rPr>
        <w:t xml:space="preserve">;  </w:t>
      </w:r>
      <w:r>
        <w:rPr>
          <w:rStyle w:val="CommentTok"/>
        </w:rPr>
        <w:t xml:space="preserve">// fraction of outputs routed to Tier 3</w:t>
      </w:r>
      <w:r>
        <w:br/>
      </w:r>
      <w:r>
        <w:rPr>
          <w:rStyle w:val="NormalTok"/>
        </w:rPr>
        <w:t xml:space="preserve">  </w:t>
      </w:r>
      <w:r>
        <w:rPr>
          <w:rStyle w:val="DataTypeTok"/>
        </w:rPr>
        <w:t xml:space="preserve">bool</w:t>
      </w:r>
      <w:r>
        <w:rPr>
          <w:rStyle w:val="NormalTok"/>
        </w:rPr>
        <w:t xml:space="preserve"> tier3_required_on_tier2_uncertain = </w:t>
      </w:r>
      <w:r>
        <w:rPr>
          <w:rStyle w:val="DecValTok"/>
        </w:rPr>
        <w:t xml:space="preserve">5</w:t>
      </w:r>
      <w:r>
        <w:rPr>
          <w:rStyle w:val="NormalTok"/>
        </w:rPr>
        <w:t xml:space="preserve">;</w:t>
      </w:r>
      <w:r>
        <w:br/>
      </w:r>
      <w:r>
        <w:rPr>
          <w:rStyle w:val="NormalTok"/>
        </w:rPr>
        <w:t xml:space="preserve">}</w:t>
      </w:r>
    </w:p>
    <w:p>
      <w:pPr>
        <w:pStyle w:val="FirstParagraph"/>
      </w:pPr>
      <w:r>
        <w:t xml:space="preserve">The</w:t>
      </w:r>
      <w:r>
        <w:t xml:space="preserve"> </w:t>
      </w:r>
      <w:r>
        <w:rPr>
          <w:rStyle w:val="VerbatimChar"/>
        </w:rPr>
        <w:t xml:space="preserve">tier3_sampling_rate</w:t>
      </w:r>
      <w:r>
        <w:t xml:space="preserve"> </w:t>
      </w:r>
      <w:r>
        <w:t xml:space="preserve">acknowledges that routing every single output to human evaluation would defeat the purpose of automation. Typical tenant configuration samples Tier 3 at 5-15% of outputs for established skills, higher during initial onboarding of a new skill, and 100% for specific governance-tagged skills where every output requires human judgment (regulatory attestations, board-level communications, externally-facing legal content).</w:t>
      </w:r>
    </w:p>
    <w:p>
      <w:pPr>
        <w:pStyle w:val="BodyText"/>
      </w:pPr>
      <w:r>
        <w:t xml:space="preserve">The</w:t>
      </w:r>
      <w:r>
        <w:t xml:space="preserve"> </w:t>
      </w:r>
      <w:r>
        <w:rPr>
          <w:rStyle w:val="VerbatimChar"/>
        </w:rPr>
        <w:t xml:space="preserve">tier3_required_on_tier2_uncertain</w:t>
      </w:r>
      <w:r>
        <w:t xml:space="preserve"> </w:t>
      </w:r>
      <w:r>
        <w:t xml:space="preserve">flag escalates to Tier 3 whenever Tier 2 returns an</w:t>
      </w:r>
      <w:r>
        <w:t xml:space="preserve"> </w:t>
      </w:r>
      <w:r>
        <w:t xml:space="preserve">“</w:t>
      </w:r>
      <w:r>
        <w:t xml:space="preserve">uncertain</w:t>
      </w:r>
      <w:r>
        <w:t xml:space="preserve">”</w:t>
      </w:r>
      <w:r>
        <w:t xml:space="preserve"> </w:t>
      </w:r>
      <w:r>
        <w:t xml:space="preserve">result, regardless of sampling rate. This ensures that uncertain factual determinations always receive human review.</w:t>
      </w:r>
    </w:p>
    <w:p>
      <w:pPr>
        <w:pStyle w:val="BodyText"/>
      </w:pPr>
      <w:r>
        <w:t xml:space="preserve">The eval_criteria declaration is versioned alongside the Skill itself, tracked in the process_evolution_history at Layer 5, and subject to the same governance review as changes to allowed_paths or governance_tags.</w:t>
      </w:r>
    </w:p>
    <w:bookmarkEnd w:id="39"/>
    <w:bookmarkStart w:id="40" w:name="bis.4-eval-outcomes-as-ledgerrow-inputs"/>
    <w:p>
      <w:pPr>
        <w:pStyle w:val="Heading3"/>
      </w:pPr>
      <w:r>
        <w:t xml:space="preserve">4bis.4 Eval Outcomes as LedgerRow Inputs</w:t>
      </w:r>
    </w:p>
    <w:p>
      <w:pPr>
        <w:pStyle w:val="FirstParagraph"/>
      </w:pPr>
      <w:r>
        <w:t xml:space="preserve">The LedgerRow schema is extended:</w:t>
      </w:r>
    </w:p>
    <w:p>
      <w:pPr>
        <w:pStyle w:val="SourceCode"/>
      </w:pPr>
      <w:r>
        <w:rPr>
          <w:rStyle w:val="KeywordTok"/>
        </w:rPr>
        <w:t xml:space="preserve">message</w:t>
      </w:r>
      <w:r>
        <w:rPr>
          <w:rStyle w:val="NormalTok"/>
        </w:rPr>
        <w:t xml:space="preserve"> LedgerRow {</w:t>
      </w:r>
      <w:r>
        <w:br/>
      </w:r>
      <w:r>
        <w:rPr>
          <w:rStyle w:val="NormalTok"/>
        </w:rPr>
        <w:t xml:space="preserve">  </w:t>
      </w:r>
      <w:r>
        <w:rPr>
          <w:rStyle w:val="CommentTok"/>
        </w:rPr>
        <w:t xml:space="preserve">// ... existing fields (execution_id, task_id, skill_id, selected_path, etc.) ...</w:t>
      </w:r>
      <w:r>
        <w:br/>
      </w:r>
      <w:r>
        <w:rPr>
          <w:rStyle w:val="NormalTok"/>
        </w:rPr>
        <w:t xml:space="preserve">  </w:t>
      </w:r>
      <w:r>
        <w:br/>
      </w:r>
      <w:r>
        <w:rPr>
          <w:rStyle w:val="NormalTok"/>
        </w:rPr>
        <w:t xml:space="preserve">  </w:t>
      </w:r>
      <w:r>
        <w:rPr>
          <w:rStyle w:val="CommentTok"/>
        </w:rPr>
        <w:t xml:space="preserve">// Eval-related fields (added in Motion C)</w:t>
      </w:r>
      <w:r>
        <w:br/>
      </w:r>
      <w:r>
        <w:rPr>
          <w:rStyle w:val="NormalTok"/>
        </w:rPr>
        <w:t xml:space="preserve">  EvalResult eval_result = </w:t>
      </w:r>
      <w:r>
        <w:rPr>
          <w:rStyle w:val="DecValTok"/>
        </w:rPr>
        <w:t xml:space="preserve">40</w:t>
      </w:r>
      <w:r>
        <w:rPr>
          <w:rStyle w:val="NormalTok"/>
        </w:rPr>
        <w:t xml:space="preserve">;</w:t>
      </w:r>
      <w:r>
        <w:br/>
      </w:r>
      <w:r>
        <w:rPr>
          <w:rStyle w:val="NormalTok"/>
        </w:rPr>
        <w:t xml:space="preserve">  </w:t>
      </w:r>
      <w:r>
        <w:rPr>
          <w:rStyle w:val="DataTypeTok"/>
        </w:rPr>
        <w:t xml:space="preserve">bool</w:t>
      </w:r>
      <w:r>
        <w:rPr>
          <w:rStyle w:val="NormalTok"/>
        </w:rPr>
        <w:t xml:space="preserve"> vendor_reported_success = </w:t>
      </w:r>
      <w:r>
        <w:rPr>
          <w:rStyle w:val="DecValTok"/>
        </w:rPr>
        <w:t xml:space="preserve">41</w:t>
      </w:r>
      <w:r>
        <w:rPr>
          <w:rStyle w:val="NormalTok"/>
        </w:rPr>
        <w:t xml:space="preserve">;  </w:t>
      </w:r>
      <w:r>
        <w:rPr>
          <w:rStyle w:val="CommentTok"/>
        </w:rPr>
        <w:t xml:space="preserve">// preserved separately for audit</w:t>
      </w:r>
      <w:r>
        <w:br/>
      </w:r>
      <w:r>
        <w:rPr>
          <w:rStyle w:val="NormalTok"/>
        </w:rPr>
        <w:t xml:space="preserve">  </w:t>
      </w:r>
      <w:r>
        <w:rPr>
          <w:rStyle w:val="DataTypeTok"/>
        </w:rPr>
        <w:t xml:space="preserve">bool</w:t>
      </w:r>
      <w:r>
        <w:rPr>
          <w:rStyle w:val="NormalTok"/>
        </w:rPr>
        <w:t xml:space="preserve"> eval_graded_success = </w:t>
      </w:r>
      <w:r>
        <w:rPr>
          <w:rStyle w:val="DecValTok"/>
        </w:rPr>
        <w:t xml:space="preserve">42</w:t>
      </w:r>
      <w:r>
        <w:rPr>
          <w:rStyle w:val="NormalTok"/>
        </w:rPr>
        <w:t xml:space="preserve">;      </w:t>
      </w:r>
      <w:r>
        <w:rPr>
          <w:rStyle w:val="CommentTok"/>
        </w:rPr>
        <w:t xml:space="preserve">// computed from eval_result</w:t>
      </w:r>
      <w:r>
        <w:br/>
      </w:r>
      <w:r>
        <w:rPr>
          <w:rStyle w:val="NormalTok"/>
        </w:rPr>
        <w:t xml:space="preserve">  </w:t>
      </w:r>
      <w:r>
        <w:rPr>
          <w:rStyle w:val="CommentTok"/>
        </w:rPr>
        <w:t xml:space="preserve">// success field (pre-existing) now points to eval_graded_success</w:t>
      </w:r>
      <w:r>
        <w:br/>
      </w:r>
      <w:r>
        <w:rPr>
          <w:rStyle w:val="NormalTok"/>
        </w:rPr>
        <w:t xml:space="preserve">}</w:t>
      </w:r>
      <w:r>
        <w:br/>
      </w:r>
      <w:r>
        <w:br/>
      </w:r>
      <w:r>
        <w:rPr>
          <w:rStyle w:val="KeywordTok"/>
        </w:rPr>
        <w:t xml:space="preserve">message</w:t>
      </w:r>
      <w:r>
        <w:rPr>
          <w:rStyle w:val="NormalTok"/>
        </w:rPr>
        <w:t xml:space="preserve"> EvalResult {</w:t>
      </w:r>
      <w:r>
        <w:br/>
      </w:r>
      <w:r>
        <w:rPr>
          <w:rStyle w:val="NormalTok"/>
        </w:rPr>
        <w:t xml:space="preserve">  FormatComplianceResult tier1 = </w:t>
      </w:r>
      <w:r>
        <w:rPr>
          <w:rStyle w:val="DecValTok"/>
        </w:rPr>
        <w:t xml:space="preserve">1</w:t>
      </w:r>
      <w:r>
        <w:rPr>
          <w:rStyle w:val="NormalTok"/>
        </w:rPr>
        <w:t xml:space="preserve">;</w:t>
      </w:r>
      <w:r>
        <w:br/>
      </w:r>
      <w:r>
        <w:rPr>
          <w:rStyle w:val="NormalTok"/>
        </w:rPr>
        <w:t xml:space="preserve">  FactualAccuracyResult tier2 = </w:t>
      </w:r>
      <w:r>
        <w:rPr>
          <w:rStyle w:val="DecValTok"/>
        </w:rPr>
        <w:t xml:space="preserve">2</w:t>
      </w:r>
      <w:r>
        <w:rPr>
          <w:rStyle w:val="NormalTok"/>
        </w:rPr>
        <w:t xml:space="preserve">;</w:t>
      </w:r>
      <w:r>
        <w:br/>
      </w:r>
      <w:r>
        <w:rPr>
          <w:rStyle w:val="NormalTok"/>
        </w:rPr>
        <w:t xml:space="preserve">  QualityJudgmentResult tier3 = </w:t>
      </w:r>
      <w:r>
        <w:rPr>
          <w:rStyle w:val="DecValTok"/>
        </w:rPr>
        <w:t xml:space="preserve">3</w:t>
      </w:r>
      <w:r>
        <w:rPr>
          <w:rStyle w:val="NormalTok"/>
        </w:rPr>
        <w:t xml:space="preserve">;</w:t>
      </w:r>
      <w:r>
        <w:br/>
      </w:r>
      <w:r>
        <w:rPr>
          <w:rStyle w:val="NormalTok"/>
        </w:rPr>
        <w:t xml:space="preserve">  Timestamp eval_completed_at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evaluator_id = </w:t>
      </w:r>
      <w:r>
        <w:rPr>
          <w:rStyle w:val="DecValTok"/>
        </w:rPr>
        <w:t xml:space="preserve">5</w:t>
      </w:r>
      <w:r>
        <w:rPr>
          <w:rStyle w:val="NormalTok"/>
        </w:rPr>
        <w:t xml:space="preserve">;  </w:t>
      </w:r>
      <w:r>
        <w:rPr>
          <w:rStyle w:val="CommentTok"/>
        </w:rPr>
        <w:t xml:space="preserve">// for Tier 3</w:t>
      </w:r>
      <w:r>
        <w:br/>
      </w:r>
      <w:r>
        <w:rPr>
          <w:rStyle w:val="NormalTok"/>
        </w:rPr>
        <w:t xml:space="preserve">}</w:t>
      </w:r>
    </w:p>
    <w:p>
      <w:pPr>
        <w:pStyle w:val="FirstParagraph"/>
      </w:pPr>
      <w:r>
        <w:t xml:space="preserve">The</w:t>
      </w:r>
      <w:r>
        <w:t xml:space="preserve"> </w:t>
      </w:r>
      <w:r>
        <w:rPr>
          <w:rStyle w:val="VerbatimChar"/>
        </w:rPr>
        <w:t xml:space="preserve">success</w:t>
      </w:r>
      <w:r>
        <w:t xml:space="preserve"> </w:t>
      </w:r>
      <w:r>
        <w:t xml:space="preserve">field of each LedgerRow — which drives the three deltas written back to rPotential — is computed from the aggregated EvalResult rather than from the vendor’s self-reported success flag. A vendor may report success but fail Tier 1 — that is a LedgerRow with</w:t>
      </w:r>
      <w:r>
        <w:t xml:space="preserve"> </w:t>
      </w:r>
      <w:r>
        <w:rPr>
          <w:rStyle w:val="VerbatimChar"/>
        </w:rPr>
        <w:t xml:space="preserve">eval_graded_success=false</w:t>
      </w:r>
      <w:r>
        <w:t xml:space="preserve"> </w:t>
      </w:r>
      <w:r>
        <w:t xml:space="preserve">and a specific format_compliance_failure identifier. A vendor may pass Tier 1 and Tier 2 but fail Tier 3 — that is a LedgerRow with</w:t>
      </w:r>
      <w:r>
        <w:t xml:space="preserve"> </w:t>
      </w:r>
      <w:r>
        <w:rPr>
          <w:rStyle w:val="VerbatimChar"/>
        </w:rPr>
        <w:t xml:space="preserve">eval_graded_success=false</w:t>
      </w:r>
      <w:r>
        <w:t xml:space="preserve"> </w:t>
      </w:r>
      <w:r>
        <w:t xml:space="preserve">or</w:t>
      </w:r>
      <w:r>
        <w:t xml:space="preserve"> </w:t>
      </w:r>
      <w:r>
        <w:rPr>
          <w:rStyle w:val="VerbatimChar"/>
        </w:rPr>
        <w:t xml:space="preserve">eval_graded_success=conditional</w:t>
      </w:r>
      <w:r>
        <w:t xml:space="preserve"> </w:t>
      </w:r>
      <w:r>
        <w:t xml:space="preserve">depending on severity.</w:t>
      </w:r>
    </w:p>
    <w:p>
      <w:pPr>
        <w:pStyle w:val="BodyText"/>
      </w:pPr>
      <w:r>
        <w:t xml:space="preserve">The</w:t>
      </w:r>
      <w:r>
        <w:t xml:space="preserve"> </w:t>
      </w:r>
      <w:r>
        <w:rPr>
          <w:rStyle w:val="VerbatimChar"/>
        </w:rPr>
        <w:t xml:space="preserve">vendor_reported_success</w:t>
      </w:r>
      <w:r>
        <w:t xml:space="preserve"> </w:t>
      </w:r>
      <w:r>
        <w:t xml:space="preserve">field is preserved separately for audit purposes and for comparative analysis (the gap between vendor-reported and eval-graded success is a valuable metric per vendor per skill class).</w:t>
      </w:r>
    </w:p>
    <w:bookmarkEnd w:id="40"/>
    <w:bookmarkStart w:id="41" w:name="X94c9718b0d8cbeed3fdd563bf81c51549e2513b"/>
    <w:p>
      <w:pPr>
        <w:pStyle w:val="Heading3"/>
      </w:pPr>
      <w:r>
        <w:t xml:space="preserve">4bis.5 Continuous Improvement Flywheel at Layer 9</w:t>
      </w:r>
    </w:p>
    <w:p>
      <w:pPr>
        <w:pStyle w:val="FirstParagraph"/>
      </w:pPr>
      <w:r>
        <w:t xml:space="preserve">Aggregated eval failures feed into the Dynamic Instruction Runtime at Layer 9. The Runtime maintains a running corpus of eval failures classified by failure type (format, factual, quality-dimension) and aggregated by skill × boundary × time window. When aggregate failures exceed a configured threshold or drift significantly from baseline, the Runtime triggers a corrective instruction synthesis:</w:t>
      </w:r>
    </w:p>
    <w:p>
      <w:pPr>
        <w:numPr>
          <w:ilvl w:val="0"/>
          <w:numId w:val="1008"/>
        </w:numPr>
        <w:pStyle w:val="Compact"/>
      </w:pPr>
      <w:r>
        <w:t xml:space="preserve">Failure corpus is input to an instruction-generation process (which itself uses an LLM as the synthesis engine)</w:t>
      </w:r>
    </w:p>
    <w:p>
      <w:pPr>
        <w:numPr>
          <w:ilvl w:val="0"/>
          <w:numId w:val="1008"/>
        </w:numPr>
        <w:pStyle w:val="Compact"/>
      </w:pPr>
      <w:r>
        <w:t xml:space="preserve">Generated corrective instruction is reviewed against governance rules (cannot introduce new skill authorizations, cannot override tenant policy, cannot modify data scope)</w:t>
      </w:r>
    </w:p>
    <w:p>
      <w:pPr>
        <w:numPr>
          <w:ilvl w:val="0"/>
          <w:numId w:val="1008"/>
        </w:numPr>
        <w:pStyle w:val="Compact"/>
      </w:pPr>
      <w:r>
        <w:t xml:space="preserve">Reviewed instruction is versioned and stored in the Memory Layer at Layer 5 (process_evolution_history)</w:t>
      </w:r>
    </w:p>
    <w:p>
      <w:pPr>
        <w:numPr>
          <w:ilvl w:val="0"/>
          <w:numId w:val="1008"/>
        </w:numPr>
        <w:pStyle w:val="Compact"/>
      </w:pPr>
      <w:r>
        <w:t xml:space="preserve">Instruction is injected into subsequent executions of the same skill on the same boundary via the existing Layer 9 injection mechanism</w:t>
      </w:r>
    </w:p>
    <w:p>
      <w:pPr>
        <w:numPr>
          <w:ilvl w:val="0"/>
          <w:numId w:val="1008"/>
        </w:numPr>
        <w:pStyle w:val="Compact"/>
      </w:pPr>
      <w:r>
        <w:t xml:space="preserve">Eval outcomes on the subsequent executions are tracked against baseline to confirm the instruction update improved results</w:t>
      </w:r>
    </w:p>
    <w:p>
      <w:pPr>
        <w:pStyle w:val="FirstParagraph"/>
      </w:pPr>
      <w:r>
        <w:t xml:space="preserve">Enterprise AI deployments operating a diligently run eval flywheel consistently report 20-30% quality improvement in the first 30 days, compounding thereafter. The flywheel is an operational capability, not a promise.</w:t>
      </w:r>
    </w:p>
    <w:bookmarkEnd w:id="41"/>
    <w:bookmarkStart w:id="42" w:name="bis.6-the-deodag-loop-extension"/>
    <w:p>
      <w:pPr>
        <w:pStyle w:val="Heading3"/>
      </w:pPr>
      <w:r>
        <w:t xml:space="preserve">4bis.6 The DEODAG Loop Extension</w:t>
      </w:r>
    </w:p>
    <w:p>
      <w:pPr>
        <w:pStyle w:val="FirstParagraph"/>
      </w:pPr>
      <w:r>
        <w:t xml:space="preserve">The parent patent specification claims a DODAG closed-loop control architecture: Document, Observe, Decide, Automate, Govern. Motion C extends this to DEODAG by interposing an explicit Evaluate stage between Observe and Decide:</w:t>
      </w:r>
    </w:p>
    <w:p>
      <w:pPr>
        <w:numPr>
          <w:ilvl w:val="0"/>
          <w:numId w:val="1009"/>
        </w:numPr>
        <w:pStyle w:val="Compact"/>
      </w:pPr>
      <w:r>
        <w:rPr>
          <w:bCs/>
          <w:b/>
        </w:rPr>
        <w:t xml:space="preserve">Document</w:t>
      </w:r>
      <w:r>
        <w:t xml:space="preserve"> </w:t>
      </w:r>
      <w:r>
        <w:t xml:space="preserve">(process registry layer) — canonical process graph created</w:t>
      </w:r>
    </w:p>
    <w:p>
      <w:pPr>
        <w:numPr>
          <w:ilvl w:val="0"/>
          <w:numId w:val="1009"/>
        </w:numPr>
        <w:pStyle w:val="Compact"/>
      </w:pPr>
      <w:r>
        <w:rPr>
          <w:bCs/>
          <w:b/>
        </w:rPr>
        <w:t xml:space="preserve">Observe</w:t>
      </w:r>
      <w:r>
        <w:t xml:space="preserve"> </w:t>
      </w:r>
      <w:r>
        <w:t xml:space="preserve">(telemetry layer) — execution data captured</w:t>
      </w:r>
    </w:p>
    <w:p>
      <w:pPr>
        <w:numPr>
          <w:ilvl w:val="0"/>
          <w:numId w:val="1009"/>
        </w:numPr>
        <w:pStyle w:val="Compact"/>
      </w:pPr>
      <w:r>
        <w:rPr>
          <w:bCs/>
          <w:b/>
        </w:rPr>
        <w:t xml:space="preserve">Evaluate</w:t>
      </w:r>
      <w:r>
        <w:t xml:space="preserve"> </w:t>
      </w:r>
      <w:r>
        <w:t xml:space="preserve">(eval harness sub-layer) — execution output graded against three-tier rubric</w:t>
      </w:r>
      <w:r>
        <w:t xml:space="preserve"> </w:t>
      </w:r>
      <w:r>
        <w:rPr>
          <w:bCs/>
          <w:b/>
        </w:rPr>
        <w:t xml:space="preserve">← NEW</w:t>
      </w:r>
    </w:p>
    <w:p>
      <w:pPr>
        <w:numPr>
          <w:ilvl w:val="0"/>
          <w:numId w:val="1009"/>
        </w:numPr>
        <w:pStyle w:val="Compact"/>
      </w:pPr>
      <w:r>
        <w:rPr>
          <w:bCs/>
          <w:b/>
        </w:rPr>
        <w:t xml:space="preserve">Decide</w:t>
      </w:r>
      <w:r>
        <w:t xml:space="preserve"> </w:t>
      </w:r>
      <w:r>
        <w:t xml:space="preserve">(intelligence layer) — transformation recommendations generated based on eval-graded outcomes</w:t>
      </w:r>
    </w:p>
    <w:p>
      <w:pPr>
        <w:numPr>
          <w:ilvl w:val="0"/>
          <w:numId w:val="1009"/>
        </w:numPr>
        <w:pStyle w:val="Compact"/>
      </w:pPr>
      <w:r>
        <w:rPr>
          <w:bCs/>
          <w:b/>
        </w:rPr>
        <w:t xml:space="preserve">Automate</w:t>
      </w:r>
      <w:r>
        <w:t xml:space="preserve"> </w:t>
      </w:r>
      <w:r>
        <w:t xml:space="preserve">(coordination layer) — execution orchestrated using AI agents</w:t>
      </w:r>
    </w:p>
    <w:p>
      <w:pPr>
        <w:numPr>
          <w:ilvl w:val="0"/>
          <w:numId w:val="1009"/>
        </w:numPr>
        <w:pStyle w:val="Compact"/>
      </w:pPr>
      <w:r>
        <w:rPr>
          <w:bCs/>
          <w:b/>
        </w:rPr>
        <w:t xml:space="preserve">Govern</w:t>
      </w:r>
      <w:r>
        <w:t xml:space="preserve"> </w:t>
      </w:r>
      <w:r>
        <w:t xml:space="preserve">(governance layer) — rules enforced throughout</w:t>
      </w:r>
    </w:p>
    <w:p>
      <w:pPr>
        <w:pStyle w:val="FirstParagraph"/>
      </w:pPr>
      <w:r>
        <w:t xml:space="preserve">The DEODAG extension is drafted as an independently claimable architectural element in the patent continuation material (Embodiment D in the Draft Continuation Specification).</w:t>
      </w:r>
    </w:p>
    <w:bookmarkEnd w:id="42"/>
    <w:bookmarkStart w:id="43" w:name="X62ba1d7737d8688133fe3f295db77217bbce25b"/>
    <w:p>
      <w:pPr>
        <w:pStyle w:val="Heading3"/>
      </w:pPr>
      <w:r>
        <w:t xml:space="preserve">4bis.7 Engineering Delivery Plan for Motion C</w:t>
      </w:r>
    </w:p>
    <w:p>
      <w:pPr>
        <w:pStyle w:val="FirstParagraph"/>
      </w:pPr>
      <w:r>
        <w:t xml:space="preserve">Motion C is delivered in five two-week sprints, running in parallel with Motion A and Motion B.</w:t>
      </w:r>
    </w:p>
    <w:p>
      <w:pPr>
        <w:pStyle w:val="BodyText"/>
      </w:pPr>
      <w:r>
        <w:rPr>
          <w:bCs/>
          <w:b/>
        </w:rPr>
        <w:t xml:space="preserve">Sprint C1 (Weeks 1–2).</w:t>
      </w:r>
      <w:r>
        <w:t xml:space="preserve"> </w:t>
      </w:r>
      <w:r>
        <w:t xml:space="preserve">Tier 1 Format Compliance rule engine in Go as an extension to the Ledger Service. Rule schema in Protobuf. Rule execution integrated into telemetry ingestion path. Skills Authority schema extension to carry eval_criteria per skill. Acceptance criteria: a Skill can declare Tier 1 format rules, executions that violate those rules produce LedgerRows with eval_graded_success=false and specific failure identifiers, and the format-compliance rejection rate across a test corpus is measurable and consistent with the 60-70% expected filter rate.</w:t>
      </w:r>
    </w:p>
    <w:p>
      <w:pPr>
        <w:pStyle w:val="BodyText"/>
      </w:pPr>
      <w:r>
        <w:rPr>
          <w:bCs/>
          <w:b/>
        </w:rPr>
        <w:t xml:space="preserve">Sprint C2 (Weeks 3–4).</w:t>
      </w:r>
      <w:r>
        <w:t xml:space="preserve"> </w:t>
      </w:r>
      <w:r>
        <w:t xml:space="preserve">Tier 2 Factual Accuracy verification framework. Database cross-reference against the Enterprise Knowledge Graph at Layer 5. Knowledge-graph query integration. API-backed fact verification adapter (supports at least three reference APIs in the first release). LLM-as-judge integration using a second runtime vendor for independence. Acceptance criteria: a Skill can declare Tier 2 factual checks, executions are asynchronously verified against those checks with results correlated back to LedgerRows, and the LLM-as-judge operates with the same Adapter Gateway pattern as production runtime adapters.</w:t>
      </w:r>
    </w:p>
    <w:p>
      <w:pPr>
        <w:pStyle w:val="BodyText"/>
      </w:pPr>
      <w:r>
        <w:rPr>
          <w:bCs/>
          <w:b/>
        </w:rPr>
        <w:t xml:space="preserve">Sprint C3 (Weeks 5–6).</w:t>
      </w:r>
      <w:r>
        <w:t xml:space="preserve"> </w:t>
      </w:r>
      <w:r>
        <w:t xml:space="preserve">Tier 3 Quality Judgment evaluator assignment algorithm. Integration with Skills Authority for evaluator skill authorization. Integration with rPotential Signal Bus for UoP signal consumption in evaluator selection. Integration with Coordination Tax calculator for evaluator friction scoring. Integration with per-Boundary governance for jurisdictional constraint enforcement. Tier 3 dispatch to Human Adapter using the existing hybrid_human dispatch path. Acceptance criteria: a Tier 3 evaluation is dispatched to the specific human evaluator whose UoP signal, Skills Authority authorization, Coordination Tax minimization, and jurisdictional fit are optimal; evaluator selection is reproducible given identical inputs; the selected evaluator receives the task in their configured evaluation surface.</w:t>
      </w:r>
    </w:p>
    <w:p>
      <w:pPr>
        <w:pStyle w:val="BodyText"/>
      </w:pPr>
      <w:r>
        <w:rPr>
          <w:bCs/>
          <w:b/>
        </w:rPr>
        <w:t xml:space="preserve">Sprint C4 (Weeks 7–8).</w:t>
      </w:r>
      <w:r>
        <w:t xml:space="preserve"> </w:t>
      </w:r>
      <w:r>
        <w:t xml:space="preserve">Eval outcome integration into LedgerRow. Schema extension with EvalResult, vendor_reported_success, and eval_graded_success fields. Three-delta computation (gsti_delta, uop_delta, coordination_delta) updated to use eval_graded_success rather than vendor_reported_success. Admin dashboard surface for eval outcomes — per-skill failure rates, per-vendor quality comparison, per-evaluator eval workload, and the gap between vendor-reported and eval-graded success per skill. Acceptance criteria: the three deltas written back to rPotential are computed from eval-graded outcomes, the admin dashboard surfaces actionable eval analytics, and the vendor-vs-eval quality gap is measurable per skill per vendor.</w:t>
      </w:r>
    </w:p>
    <w:p>
      <w:pPr>
        <w:pStyle w:val="BodyText"/>
      </w:pPr>
      <w:r>
        <w:rPr>
          <w:bCs/>
          <w:b/>
        </w:rPr>
        <w:t xml:space="preserve">Sprint C5 (Weeks 9–10).</w:t>
      </w:r>
      <w:r>
        <w:t xml:space="preserve"> </w:t>
      </w:r>
      <w:r>
        <w:t xml:space="preserve">Continuous improvement flywheel at Layer 9. Eval failure corpus aggregation by skill × boundary × time window. Corrective instruction synthesis using LLM. Instruction review against governance rules. Version storage in Memory Layer (process_evolution_history). Injection via existing Layer 9 mechanism. Flywheel performance tracking (baseline vs post-injection eval outcomes). Acceptance criteria: a configured threshold of eval failures triggers corrective instruction synthesis, the generated instruction passes governance review, the instruction is injected into subsequent executions, and the flywheel produces measurable quality improvement on a test corpus over a 30-day simulated runtime window.</w:t>
      </w:r>
    </w:p>
    <w:p>
      <w:pPr>
        <w:pStyle w:val="BodyText"/>
      </w:pPr>
      <w:r>
        <w:t xml:space="preserve">Total engineering effort: 10 weeks, estimated 2 engineers working across Go (rubric engine, Layer 9 extension, Ledger schema extension) and Python (Skills Authority schema, LLM-as-judge integration). Fits within the existing Q3 2026 build phase.</w:t>
      </w:r>
    </w:p>
    <w:bookmarkEnd w:id="43"/>
    <w:bookmarkStart w:id="44" w:name="Xb241b8a0ffff33b942d34dfd5a1d320d4e9b7bb"/>
    <w:p>
      <w:pPr>
        <w:pStyle w:val="Heading3"/>
      </w:pPr>
      <w:r>
        <w:t xml:space="preserve">4bis.8 Commercial Implications of Motion C</w:t>
      </w:r>
    </w:p>
    <w:p>
      <w:pPr>
        <w:pStyle w:val="FirstParagraph"/>
      </w:pPr>
      <w:r>
        <w:t xml:space="preserve">The Eval Harness creates a new AEOS commercial surface:</w:t>
      </w:r>
      <w:r>
        <w:t xml:space="preserve"> </w:t>
      </w:r>
      <w:r>
        <w:rPr>
          <w:bCs/>
          <w:b/>
        </w:rPr>
        <w:t xml:space="preserve">Enterprise Eval Certification</w:t>
      </w:r>
      <w:r>
        <w:t xml:space="preserve">. A regulated Fortune 500 tenant can purchase AEOS with the Eval Harness enabled and receive signed attestation bundles that certify each execution passed the declared three-tier rubric. This is exactly the evidence regulators, works councils, and auditors ask for when they evaluate AI deployment in regulated industries. Enterprise Eval Certification becomes a premium SKU alongside the existing Enterprise Governance SKU, the Enterprise Autonomy Index SKU, and the rPotential Workforce Intelligence SKU.</w:t>
      </w:r>
    </w:p>
    <w:p>
      <w:pPr>
        <w:pStyle w:val="BodyText"/>
      </w:pPr>
      <w:r>
        <w:t xml:space="preserve">The Eval Harness also enables AEOS to quantify a specific outcome in enterprise sales conversations:</w:t>
      </w:r>
      <w:r>
        <w:t xml:space="preserve"> </w:t>
      </w:r>
      <w:r>
        <w:t xml:space="preserve">“</w:t>
      </w:r>
      <w:r>
        <w:t xml:space="preserve">AEOS-deployed eval flywheels consistently produce 20-30% measurable quality improvement in the first 30 days of operation.</w:t>
      </w:r>
      <w:r>
        <w:t xml:space="preserve">”</w:t>
      </w:r>
      <w:r>
        <w:t xml:space="preserve"> </w:t>
      </w:r>
      <w:r>
        <w:t xml:space="preserve">This is a contract-able deliverable that FuzeBox can commit to, backed by the eval-graded LedgerRows that prove the improvement.</w:t>
      </w:r>
    </w:p>
    <w:p>
      <w:pPr>
        <w:pStyle w:val="BodyText"/>
      </w:pPr>
      <w:r>
        <w:t xml:space="preserve">Strategically, Motion C changes the AEOS sales pitch to every runtime vendor. Instead of</w:t>
      </w:r>
      <w:r>
        <w:t xml:space="preserve"> </w:t>
      </w:r>
      <w:r>
        <w:t xml:space="preserve">“</w:t>
      </w:r>
      <w:r>
        <w:t xml:space="preserve">your agents run through our governance layer,</w:t>
      </w:r>
      <w:r>
        <w:t xml:space="preserve">”</w:t>
      </w:r>
      <w:r>
        <w:t xml:space="preserve"> </w:t>
      </w:r>
      <w:r>
        <w:t xml:space="preserve">the pitch becomes</w:t>
      </w:r>
      <w:r>
        <w:t xml:space="preserve"> </w:t>
      </w:r>
      <w:r>
        <w:t xml:space="preserve">“</w:t>
      </w:r>
      <w:r>
        <w:t xml:space="preserve">your agents run through our governance layer and AEOS provides the eval rubric that makes your output trustworthy for enterprise deployment.</w:t>
      </w:r>
      <w:r>
        <w:t xml:space="preserve">”</w:t>
      </w:r>
      <w:r>
        <w:t xml:space="preserve"> </w:t>
      </w:r>
      <w:r>
        <w:t xml:space="preserve">Every runtime vendor wants their output to be graded well, not badly — it drives adoption. The Eval Harness positions AEOS as the platform that certifies vendor quality, not just routes traffic across vendors.</w:t>
      </w:r>
    </w:p>
    <w:p>
      <w:r>
        <w:pict>
          <v:rect style="width:0;height:1.5pt" o:hralign="center" o:hrstd="t" o:hr="t"/>
        </w:pict>
      </w:r>
    </w:p>
    <w:bookmarkEnd w:id="44"/>
    <w:bookmarkEnd w:id="45"/>
    <w:bookmarkStart w:id="46" w:name="acceptance-criteria-for-the-combined-prd"/>
    <w:p>
      <w:pPr>
        <w:pStyle w:val="Heading2"/>
      </w:pPr>
      <w:r>
        <w:t xml:space="preserve">5. Acceptance Criteria for the Combined PRD</w:t>
      </w:r>
    </w:p>
    <w:p>
      <w:pPr>
        <w:pStyle w:val="FirstParagraph"/>
      </w:pPr>
      <w:r>
        <w:t xml:space="preserve">Motions A, B, and C are considered delivered when the following can be demonstrated end-to-end in the AEOS Q3 2026 release:</w:t>
      </w:r>
    </w:p>
    <w:p>
      <w:pPr>
        <w:pStyle w:val="BodyText"/>
      </w:pPr>
      <w:r>
        <w:rPr>
          <w:bCs/>
          <w:b/>
        </w:rPr>
        <w:t xml:space="preserve">Developer onboarding path (Motion A).</w:t>
      </w:r>
      <w:r>
        <w:t xml:space="preserve"> </w:t>
      </w:r>
      <w:r>
        <w:t xml:space="preserve">A developer encountering AEOS for the first time can declare their agent population in SKILLS.md, submit a task in Paperclip-format ticket JSON, see the resulting execution in the admin dashboard as a threaded conversation with full tool-call tracing, observe the agent org-chart visualization of their tenant, configure per-agent budgets with automatic pause, schedule agent heartbeats, and configure approval gates on sensitive actions. Estimated time from first login to first executed task: under 15 minutes for a developer familiar with the Paperclip UX.</w:t>
      </w:r>
    </w:p>
    <w:p>
      <w:pPr>
        <w:pStyle w:val="BodyText"/>
      </w:pPr>
      <w:r>
        <w:rPr>
          <w:bCs/>
          <w:b/>
        </w:rPr>
        <w:t xml:space="preserve">Enterprise Vast.ai-backed deployment (Motion B).</w:t>
      </w:r>
      <w:r>
        <w:t xml:space="preserve"> </w:t>
      </w:r>
      <w:r>
        <w:t xml:space="preserve">An enterprise tenant configured with Vast.ai reserved-pool mode for open-source inference processes tasks at 5-6x lower inference cost than commercial API alternatives, maintains full audit trail provenance to the specific Vast.ai instances used, produces signed attestation artifacts that include infrastructure metadata suitable for regulatory review, and sustains 100 requests per second peak throughput against the reserved pool without latency regression beyond the tenant’s SLA.</w:t>
      </w:r>
    </w:p>
    <w:p>
      <w:pPr>
        <w:pStyle w:val="BodyText"/>
      </w:pPr>
      <w:r>
        <w:rPr>
          <w:bCs/>
          <w:b/>
        </w:rPr>
        <w:t xml:space="preserve">Eval Harness end-to-end operation (Motion C).</w:t>
      </w:r>
      <w:r>
        <w:t xml:space="preserve"> </w:t>
      </w:r>
      <w:r>
        <w:t xml:space="preserve">A production tenant with eval_criteria declared per skill runs workloads through the three-tier rubric such that Tier 1 filters approximately 60-70% of failed outputs before downstream processing, Tier 2 verifies factual claims against the Enterprise Knowledge Graph and LLM-as-judge, Tier 3 quality judgments are dispatched to the UoP-selected and Coordination-Tax-minimized human evaluator per skill authorization, eval-graded outcomes replace vendor self-reported success in the Execution Economic Ledger, the three deltas written to rPotential are computed from eval-graded outcomes, and the Layer 9 continuous improvement flywheel produces measurable quality improvement on a test corpus over a simulated 30-day runtime window.</w:t>
      </w:r>
    </w:p>
    <w:p>
      <w:pPr>
        <w:pStyle w:val="BodyText"/>
      </w:pPr>
      <w:r>
        <w:rPr>
          <w:bCs/>
          <w:b/>
        </w:rPr>
        <w:t xml:space="preserve">Portfolio admin UX (Motion A).</w:t>
      </w:r>
      <w:r>
        <w:t xml:space="preserve"> </w:t>
      </w:r>
      <w:r>
        <w:t xml:space="preserve">An MSP operator or consulting firm managing multiple enterprise tenants can view their full portfolio in one dashboard, navigate between tenants with isolation enforced at the data layer, and audit activity across the portfolio.</w:t>
      </w:r>
    </w:p>
    <w:p>
      <w:pPr>
        <w:pStyle w:val="BodyText"/>
      </w:pPr>
      <w:r>
        <w:rPr>
          <w:bCs/>
          <w:b/>
        </w:rPr>
        <w:t xml:space="preserve">MIT attribution compliance (Motion A).</w:t>
      </w:r>
      <w:r>
        <w:t xml:space="preserve"> </w:t>
      </w:r>
      <w:r>
        <w:t xml:space="preserve">All absorbed Paperclip patterns are properly attributed in codebase comments,</w:t>
      </w:r>
      <w:r>
        <w:t xml:space="preserve"> </w:t>
      </w:r>
      <w:r>
        <w:rPr>
          <w:rStyle w:val="VerbatimChar"/>
        </w:rPr>
        <w:t xml:space="preserve">THIRD_PARTY_NOTICES.md</w:t>
      </w:r>
      <w:r>
        <w:t xml:space="preserve">, public documentation, and the first-release public acknowledgment post.</w:t>
      </w:r>
    </w:p>
    <w:p>
      <w:pPr>
        <w:pStyle w:val="BodyText"/>
      </w:pPr>
      <w:r>
        <w:rPr>
          <w:bCs/>
          <w:b/>
        </w:rPr>
        <w:t xml:space="preserve">Production stability.</w:t>
      </w:r>
      <w:r>
        <w:t xml:space="preserve"> </w:t>
      </w:r>
      <w:r>
        <w:t xml:space="preserve">All three motions pass the full AEOS integration test suite at 80 percent coverage, the property-based test suite for the UEF scoring dimensions continues to pass with the Vast.ai-affected runtime_fit and economic_value dimensions and the Motion-C-affected eval-graded success signal, and chaos engineering tests validate behavior under Vast.ai API unavailability, Tier 2 verification-API failures, and Tier 3 evaluator unavailability.</w:t>
      </w:r>
    </w:p>
    <w:p>
      <w:r>
        <w:pict>
          <v:rect style="width:0;height:1.5pt" o:hralign="center" o:hrstd="t" o:hr="t"/>
        </w:pict>
      </w:r>
    </w:p>
    <w:bookmarkEnd w:id="46"/>
    <w:bookmarkStart w:id="50" w:name="commercial-and-go-to-market-implications"/>
    <w:p>
      <w:pPr>
        <w:pStyle w:val="Heading2"/>
      </w:pPr>
      <w:r>
        <w:t xml:space="preserve">6. Commercial and Go-to-Market Implications</w:t>
      </w:r>
    </w:p>
    <w:bookmarkStart w:id="47" w:name="developer-tier-messaging"/>
    <w:p>
      <w:pPr>
        <w:pStyle w:val="Heading3"/>
      </w:pPr>
      <w:r>
        <w:t xml:space="preserve">6.1 Developer Tier Messaging</w:t>
      </w:r>
    </w:p>
    <w:p>
      <w:pPr>
        <w:pStyle w:val="FirstParagraph"/>
      </w:pPr>
      <w:r>
        <w:t xml:space="preserve">The combination of Paperclip pattern absorption and Vast.ai cost economics creates a new AEOS messaging surface: the developer tier. AEOS can be positioned to startup and scaleup CTOs as</w:t>
      </w:r>
      <w:r>
        <w:t xml:space="preserve"> </w:t>
      </w:r>
      <w:r>
        <w:t xml:space="preserve">“</w:t>
      </w:r>
      <w:r>
        <w:t xml:space="preserve">the enterprise control plane you graduate into when you hit Fortune 500 customer requirements, with the developer UX you already know from Paperclip and the infrastructure economics you already know from Vast.ai.</w:t>
      </w:r>
      <w:r>
        <w:t xml:space="preserve">”</w:t>
      </w:r>
    </w:p>
    <w:p>
      <w:pPr>
        <w:pStyle w:val="BodyText"/>
      </w:pPr>
      <w:r>
        <w:t xml:space="preserve">This is a meaningful positioning shift. Previously AEOS positioning centered exclusively on Fortune 500 enterprise transformation. The developer-tier messaging captures a different buyer at an earlier moment of their trajectory — the scaling startup CTO who has already chosen open-source models and cost-optimized infrastructure — and builds relationship equity before the enterprise-scale conversation.</w:t>
      </w:r>
    </w:p>
    <w:p>
      <w:pPr>
        <w:pStyle w:val="BodyText"/>
      </w:pPr>
      <w:r>
        <w:t xml:space="preserve">The commercial pricing model for the developer tier should remain consistent with AEOS’s enterprise pricing structure (per-tenant licensing with governance SKU, Enterprise Autonomy Index as a premium add-on, rPotential integration as a joint SKU) but introduce a developer-tier entry point that includes the basic platform functionality without the per-Boundary governance, the EU AI Act policy packs, the works-council notification rules, and the other regulated-enterprise features that define the enterprise tier. Developer-tier customers graduate to enterprise tier when their own growth requires it.</w:t>
      </w:r>
    </w:p>
    <w:bookmarkEnd w:id="47"/>
    <w:bookmarkStart w:id="48" w:name="vast.ai-partnership-terms"/>
    <w:p>
      <w:pPr>
        <w:pStyle w:val="Heading3"/>
      </w:pPr>
      <w:r>
        <w:t xml:space="preserve">6.2 Vast.ai Partnership Terms</w:t>
      </w:r>
    </w:p>
    <w:p>
      <w:pPr>
        <w:pStyle w:val="FirstParagraph"/>
      </w:pPr>
      <w:r>
        <w:t xml:space="preserve">The Vast.ai partnership is structured as a reference-architecture and co-marketing motion rather than a commercial affiliate or revenue-share arrangement. AEOS earns its platform revenue from the enterprise tenant; Vast.ai earns its marketplace compute revenue from the tasks AEOS routes to their infrastructure. Both parties benefit from the integration being publicly documented, co-marketed, and jointly referenced. No revenue-share pricing complexity, no affiliate tracking, no exclusivity — just straightforward integration and mutual promotion.</w:t>
      </w:r>
    </w:p>
    <w:bookmarkEnd w:id="48"/>
    <w:bookmarkStart w:id="49" w:name="paperclip-acknowledgment-plan"/>
    <w:p>
      <w:pPr>
        <w:pStyle w:val="Heading3"/>
      </w:pPr>
      <w:r>
        <w:t xml:space="preserve">6.3 Paperclip Acknowledgment Plan</w:t>
      </w:r>
    </w:p>
    <w:p>
      <w:pPr>
        <w:pStyle w:val="FirstParagraph"/>
      </w:pPr>
      <w:r>
        <w:t xml:space="preserve">When the first public AEOS release containing absorbed Paperclip patterns ships, FuzeBox publishes a blog post titled approximately</w:t>
      </w:r>
      <w:r>
        <w:t xml:space="preserve"> </w:t>
      </w:r>
      <w:r>
        <w:t xml:space="preserve">“</w:t>
      </w:r>
      <w:r>
        <w:t xml:space="preserve">AEOS and Paperclip: Developer to Enterprise, Without Rework.</w:t>
      </w:r>
      <w:r>
        <w:t xml:space="preserve">”</w:t>
      </w:r>
      <w:r>
        <w:t xml:space="preserve"> </w:t>
      </w:r>
      <w:r>
        <w:t xml:space="preserve">The post acknowledges Paperclip’s contribution to AEOS’s developer-facing UX, clarifies the tier distinction (Paperclip for developers, AEOS for enterprise), includes a migration guide for Paperclip users whose deployments have grown into enterprise requirements, and invites Paperclip maintainers to collaborate on the migration path if they are interested.</w:t>
      </w:r>
    </w:p>
    <w:p>
      <w:pPr>
        <w:pStyle w:val="BodyText"/>
      </w:pPr>
      <w:r>
        <w:t xml:space="preserve">This approach treats Paperclip generously. The open-source community tends to respond well to commercial adopters who acknowledge the source explicitly rather than treating open-source absorption as a covert act. The AEOS position is strong enough not to need to hide the adoption.</w:t>
      </w:r>
    </w:p>
    <w:p>
      <w:r>
        <w:pict>
          <v:rect style="width:0;height:1.5pt" o:hralign="center" o:hrstd="t" o:hr="t"/>
        </w:pict>
      </w:r>
    </w:p>
    <w:bookmarkEnd w:id="49"/>
    <w:bookmarkEnd w:id="50"/>
    <w:bookmarkStart w:id="51" w:name="risk-register"/>
    <w:p>
      <w:pPr>
        <w:pStyle w:val="Heading2"/>
      </w:pPr>
      <w:r>
        <w:t xml:space="preserve">7. Risk Register</w:t>
      </w:r>
    </w:p>
    <w:p>
      <w:pPr>
        <w:pStyle w:val="FirstParagraph"/>
      </w:pPr>
      <w:r>
        <w:rPr>
          <w:bCs/>
          <w:b/>
        </w:rPr>
        <w:t xml:space="preserve">Risk 1 — Paperclip maintainers object to the absorption framing.</w:t>
      </w:r>
      <w:r>
        <w:t xml:space="preserve"> </w:t>
      </w:r>
      <w:r>
        <w:t xml:space="preserve">Probability: low given MIT license permits the absorption. Impact: moderate if it becomes a public narrative issue. Mitigation: straightforward MIT attribution and public acknowledgment per section 3.2 and section 6.3. If the Paperclip maintainers raise concerns, engage them directly with an offer to collaborate on migration paths or co-authored content.</w:t>
      </w:r>
    </w:p>
    <w:p>
      <w:pPr>
        <w:pStyle w:val="BodyText"/>
      </w:pPr>
      <w:r>
        <w:rPr>
          <w:bCs/>
          <w:b/>
        </w:rPr>
        <w:t xml:space="preserve">Risk 2 — Vast.ai marketplace reliability issues in regulated tenant deployments.</w:t>
      </w:r>
      <w:r>
        <w:t xml:space="preserve"> </w:t>
      </w:r>
      <w:r>
        <w:t xml:space="preserve">Probability: moderate given Vast.ai’s mixed reliability profile across verified-datacenter and consumer-GPU hosts. Impact: high for regulated tenants if reliability degrades. Mitigation: default configuration profile for regulated tenants restricts to verified-datacenter tier only; reserved-pool mode with multi-instance redundancy; SkyPilot-based failover to alternate marketplaces (RunPod, SaladCloud, AWS spot) as a configuration option; chaos engineering tests that validate behavior under Vast.ai API unavailability.</w:t>
      </w:r>
    </w:p>
    <w:p>
      <w:pPr>
        <w:pStyle w:val="BodyText"/>
      </w:pPr>
      <w:r>
        <w:rPr>
          <w:bCs/>
          <w:b/>
        </w:rPr>
        <w:t xml:space="preserve">Risk 3 — Vast.ai commercial terms change in ways that compromise the cost advantage.</w:t>
      </w:r>
      <w:r>
        <w:t xml:space="preserve"> </w:t>
      </w:r>
      <w:r>
        <w:t xml:space="preserve">Probability: low given Vast.ai’s marketplace economics are structural rather than contract-based. Impact: high if Vast.ai substantially changes its business model. Mitigation: SkyPilot integration as a configuration option ensures AEOS can failover to alternative GPU marketplaces (RunPod, SaladCloud, etc.) without requiring a re-architecture; the Vast.ai integration is one of several candidate provisioning backends rather than an exclusive dependency.</w:t>
      </w:r>
    </w:p>
    <w:p>
      <w:pPr>
        <w:pStyle w:val="BodyText"/>
      </w:pPr>
      <w:r>
        <w:rPr>
          <w:bCs/>
          <w:b/>
        </w:rPr>
        <w:t xml:space="preserve">Risk 4 — Developer-tier pricing cannibalizes enterprise-tier revenue.</w:t>
      </w:r>
      <w:r>
        <w:t xml:space="preserve"> </w:t>
      </w:r>
      <w:r>
        <w:t xml:space="preserve">Probability: low if the tier boundary is cleanly defined. Impact: moderate if developer-tier pricing is set too low or includes too many enterprise-tier features. Mitigation: tier boundary is defined by the presence or absence of specific enterprise-tier features (per-Boundary governance, jurisdictional policy packs, Enterprise Autonomy Index, works-council notifications, rPotential integration); developer-tier deployments that grow into regulated-enterprise requirements graduate via a clearly defined commercial path.</w:t>
      </w:r>
    </w:p>
    <w:p>
      <w:pPr>
        <w:pStyle w:val="BodyText"/>
      </w:pPr>
      <w:r>
        <w:rPr>
          <w:bCs/>
          <w:b/>
        </w:rPr>
        <w:t xml:space="preserve">Risk 5 — Motion A or Motion B engineering delivery slips and compresses other Q3 2026 priorities.</w:t>
      </w:r>
      <w:r>
        <w:t xml:space="preserve"> </w:t>
      </w:r>
      <w:r>
        <w:t xml:space="preserve">Probability: moderate given the combined 14-week engineering effort across both motions. Impact: high if it delays the core rPotential integration or the production runtime adapter rollout. Mitigation: both motions are structured as extensions to specified components rather than new services, reducing architectural risk; sprints are small and independently testable; explicit milestone checkpoints at the end of every two-week sprint allow early detection of slippage.</w:t>
      </w:r>
    </w:p>
    <w:p>
      <w:r>
        <w:pict>
          <v:rect style="width:0;height:1.5pt" o:hralign="center" o:hrstd="t" o:hr="t"/>
        </w:pict>
      </w:r>
    </w:p>
    <w:bookmarkEnd w:id="51"/>
    <w:bookmarkStart w:id="52" w:name="X14946a0573dc3ae676befe5e94015883c293979"/>
    <w:p>
      <w:pPr>
        <w:pStyle w:val="Heading2"/>
      </w:pPr>
      <w:r>
        <w:t xml:space="preserve">8. Open Questions for Engineering and Product Review</w:t>
      </w:r>
    </w:p>
    <w:p>
      <w:pPr>
        <w:pStyle w:val="FirstParagraph"/>
      </w:pPr>
      <w:r>
        <w:t xml:space="preserve">The following open questions require Danny (CTO), Dulay (CPO), and John’s resolution before engineering execution begins.</w:t>
      </w:r>
    </w:p>
    <w:p>
      <w:pPr>
        <w:pStyle w:val="BodyText"/>
      </w:pPr>
      <w:r>
        <w:rPr>
          <w:bCs/>
          <w:b/>
        </w:rPr>
        <w:t xml:space="preserve">Q1.</w:t>
      </w:r>
      <w:r>
        <w:t xml:space="preserve"> </w:t>
      </w:r>
      <w:r>
        <w:t xml:space="preserve">Should the Paperclip ticket-ingest endpoint at the Intent Classifier accept Paperclip’s exact JSON schema (compatibility with existing Paperclip-using developers) or a simplified subset that aligns more directly with the canonical Task Protobuf message? Recommendation: accept Paperclip’s exact schema for compatibility, with a translator in the Intent Classifier that extracts the canonical Task fields.</w:t>
      </w:r>
    </w:p>
    <w:p>
      <w:pPr>
        <w:pStyle w:val="BodyText"/>
      </w:pPr>
      <w:r>
        <w:rPr>
          <w:bCs/>
          <w:b/>
        </w:rPr>
        <w:t xml:space="preserve">Q2.</w:t>
      </w:r>
      <w:r>
        <w:t xml:space="preserve"> </w:t>
      </w:r>
      <w:r>
        <w:t xml:space="preserve">Should the SKILLS.md convention be published as a public specification that Paperclip users can target, or should it remain an internal onboarding convenience? Recommendation: publish as a public specification so Paperclip-to-AEOS migration is frictionless and so other agent tooling can target the same format.</w:t>
      </w:r>
    </w:p>
    <w:p>
      <w:pPr>
        <w:pStyle w:val="BodyText"/>
      </w:pPr>
      <w:r>
        <w:rPr>
          <w:bCs/>
          <w:b/>
        </w:rPr>
        <w:t xml:space="preserve">Q3.</w:t>
      </w:r>
      <w:r>
        <w:t xml:space="preserve"> </w:t>
      </w:r>
      <w:r>
        <w:t xml:space="preserve">Should Vast.ai be the exclusive default provisioning backend for the open-source adapter, or should SkyPilot be the default with Vast.ai as one of several equally weighted backends? Recommendation: Vast.ai direct integration as the default for simplicity and reliability; SkyPilot integration as a configuration option for tenants who need multi-cloud failover or want to comparison-shop across marketplaces.</w:t>
      </w:r>
    </w:p>
    <w:p>
      <w:pPr>
        <w:pStyle w:val="BodyText"/>
      </w:pPr>
      <w:r>
        <w:rPr>
          <w:bCs/>
          <w:b/>
        </w:rPr>
        <w:t xml:space="preserve">Q4.</w:t>
      </w:r>
      <w:r>
        <w:t xml:space="preserve"> </w:t>
      </w:r>
      <w:r>
        <w:t xml:space="preserve">What is the right AEOS developer-tier pricing floor? Recommendation: zero dollars for self-hosted open-source deployments (mirrors Paperclip’s commercial posture) with paid add-ons for hosted deployment, enterprise-tier governance features, and the rPotential integration. Convert to enterprise tier when regulated-enterprise features are needed.</w:t>
      </w:r>
    </w:p>
    <w:p>
      <w:pPr>
        <w:pStyle w:val="BodyText"/>
      </w:pPr>
      <w:r>
        <w:rPr>
          <w:bCs/>
          <w:b/>
        </w:rPr>
        <w:t xml:space="preserve">Q5.</w:t>
      </w:r>
      <w:r>
        <w:t xml:space="preserve"> </w:t>
      </w:r>
      <w:r>
        <w:t xml:space="preserve">Should the public acknowledgment post for Paperclip be authored by Les (as CEO), Dulay (as CPO), or Danny (as CTO)? Recommendation: Dulay or Danny — a product-and-engineering-origin post reads more credibly than an executive-origin post when the subject is open-source pattern adoption.</w:t>
      </w:r>
    </w:p>
    <w:p>
      <w:pPr>
        <w:pStyle w:val="BodyText"/>
      </w:pPr>
      <w:r>
        <w:rPr>
          <w:bCs/>
          <w:b/>
        </w:rPr>
        <w:t xml:space="preserve">Q6.</w:t>
      </w:r>
      <w:r>
        <w:t xml:space="preserve"> </w:t>
      </w:r>
      <w:r>
        <w:t xml:space="preserve">Should the Paperclip migration guide include a migration tool (automated import of a Paperclip deployment state into an AEOS deployment) or should it be documentation only? Recommendation: documentation-only in the first release; revisit a migration tool if there is demonstrated Paperclip-to-AEOS migration volume.</w:t>
      </w:r>
    </w:p>
    <w:p>
      <w:r>
        <w:pict>
          <v:rect style="width:0;height:1.5pt" o:hralign="center" o:hrstd="t" o:hr="t"/>
        </w:pict>
      </w:r>
    </w:p>
    <w:bookmarkEnd w:id="52"/>
    <w:bookmarkStart w:id="54" w:name="delivery-timeline-summary"/>
    <w:p>
      <w:pPr>
        <w:pStyle w:val="Heading2"/>
      </w:pPr>
      <w:r>
        <w:t xml:space="preserve">9. Delivery Timeline Summary</w:t>
      </w:r>
    </w:p>
    <w:p>
      <w:pPr>
        <w:pStyle w:val="FirstParagraph"/>
      </w:pPr>
      <w:r>
        <w:t xml:space="preserve">Both motions run in parallel within the Q3 2026 AEOS build phase.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Motion A (Paperclip)</w:t>
            </w:r>
          </w:p>
        </w:tc>
        <w:tc>
          <w:tcPr/>
          <w:p>
            <w:pPr>
              <w:pStyle w:val="Compact"/>
              <w:jc w:val="left"/>
            </w:pPr>
            <w:r>
              <w:t xml:space="preserve">Motion B (Vast.ai)</w:t>
            </w:r>
          </w:p>
        </w:tc>
      </w:tr>
      <w:tr>
        <w:tc>
          <w:tcPr/>
          <w:p>
            <w:pPr>
              <w:pStyle w:val="Compact"/>
              <w:jc w:val="left"/>
            </w:pPr>
            <w:r>
              <w:t xml:space="preserve">1–2</w:t>
            </w:r>
          </w:p>
        </w:tc>
        <w:tc>
          <w:tcPr/>
          <w:p>
            <w:pPr>
              <w:pStyle w:val="Compact"/>
              <w:jc w:val="left"/>
            </w:pPr>
            <w:r>
              <w:t xml:space="preserve">Org-chart data model, multi-tenant portfolio UX</w:t>
            </w:r>
          </w:p>
        </w:tc>
        <w:tc>
          <w:tcPr/>
          <w:p>
            <w:pPr>
              <w:pStyle w:val="Compact"/>
              <w:jc w:val="left"/>
            </w:pPr>
            <w:r>
              <w:t xml:space="preserve">Vast.ai API client, instance lifecycle</w:t>
            </w:r>
          </w:p>
        </w:tc>
      </w:tr>
      <w:tr>
        <w:tc>
          <w:tcPr/>
          <w:p>
            <w:pPr>
              <w:pStyle w:val="Compact"/>
              <w:jc w:val="left"/>
            </w:pPr>
            <w:r>
              <w:t xml:space="preserve">3–4</w:t>
            </w:r>
          </w:p>
        </w:tc>
        <w:tc>
          <w:tcPr/>
          <w:p>
            <w:pPr>
              <w:pStyle w:val="Compact"/>
              <w:jc w:val="left"/>
            </w:pPr>
            <w:r>
              <w:t xml:space="preserve">Ticket-based task format, SKILLS.md</w:t>
            </w:r>
          </w:p>
        </w:tc>
        <w:tc>
          <w:tcPr/>
          <w:p>
            <w:pPr>
              <w:pStyle w:val="Compact"/>
              <w:jc w:val="left"/>
            </w:pPr>
            <w:r>
              <w:t xml:space="preserve">Reserved-pool mode, pool manager, autoscaling</w:t>
            </w:r>
          </w:p>
        </w:tc>
      </w:tr>
      <w:tr>
        <w:tc>
          <w:tcPr/>
          <w:p>
            <w:pPr>
              <w:pStyle w:val="Compact"/>
              <w:jc w:val="left"/>
            </w:pPr>
            <w:r>
              <w:t xml:space="preserve">5–6</w:t>
            </w:r>
          </w:p>
        </w:tc>
        <w:tc>
          <w:tcPr/>
          <w:p>
            <w:pPr>
              <w:pStyle w:val="Compact"/>
              <w:jc w:val="left"/>
            </w:pPr>
            <w:r>
              <w:t xml:space="preserve">Heartbeats, per-agent budgets</w:t>
            </w:r>
          </w:p>
        </w:tc>
        <w:tc>
          <w:tcPr/>
          <w:p>
            <w:pPr>
              <w:pStyle w:val="Compact"/>
              <w:jc w:val="left"/>
            </w:pPr>
            <w:r>
              <w:t xml:space="preserve">Observability integration, audit evidence, SkyPilot optional backend</w:t>
            </w:r>
          </w:p>
        </w:tc>
      </w:tr>
      <w:tr>
        <w:tc>
          <w:tcPr/>
          <w:p>
            <w:pPr>
              <w:pStyle w:val="Compact"/>
              <w:jc w:val="left"/>
            </w:pPr>
            <w:r>
              <w:t xml:space="preserve">7–8</w:t>
            </w:r>
          </w:p>
        </w:tc>
        <w:tc>
          <w:tcPr/>
          <w:p>
            <w:pPr>
              <w:pStyle w:val="Compact"/>
              <w:jc w:val="left"/>
            </w:pPr>
            <w:r>
              <w:t xml:space="preserve">Approval gates, end-to-end testing, MIT attribution</w:t>
            </w:r>
          </w:p>
        </w:tc>
        <w:tc>
          <w:tcPr/>
          <w:p>
            <w:pPr>
              <w:pStyle w:val="Compact"/>
              <w:jc w:val="left"/>
            </w:pPr>
            <w:r>
              <w:t xml:space="preserve">(Motion B complete; engineers absorbed into integration testing)</w:t>
            </w:r>
          </w:p>
        </w:tc>
      </w:tr>
    </w:tbl>
    <w:bookmarkStart w:id="53" w:name="motion-c-eval-harness-sprint-timeline"/>
    <w:p>
      <w:pPr>
        <w:pStyle w:val="Heading3"/>
      </w:pPr>
      <w:r>
        <w:t xml:space="preserve">Motion C (Eval Harness) Sprint Timeline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Week</w:t>
            </w:r>
          </w:p>
        </w:tc>
        <w:tc>
          <w:tcPr/>
          <w:p>
            <w:pPr>
              <w:pStyle w:val="Compact"/>
              <w:jc w:val="left"/>
            </w:pPr>
            <w:r>
              <w:t xml:space="preserve">Motion C (Eval Harness)</w:t>
            </w:r>
          </w:p>
        </w:tc>
      </w:tr>
      <w:tr>
        <w:tc>
          <w:tcPr/>
          <w:p>
            <w:pPr>
              <w:pStyle w:val="Compact"/>
              <w:jc w:val="left"/>
            </w:pPr>
            <w:r>
              <w:t xml:space="preserve">1–2</w:t>
            </w:r>
          </w:p>
        </w:tc>
        <w:tc>
          <w:tcPr/>
          <w:p>
            <w:pPr>
              <w:pStyle w:val="Compact"/>
              <w:jc w:val="left"/>
            </w:pPr>
            <w:r>
              <w:t xml:space="preserve">Tier 1 Format Compliance rule engine, Skills Authority eval_criteria schema extension</w:t>
            </w:r>
          </w:p>
        </w:tc>
      </w:tr>
      <w:tr>
        <w:tc>
          <w:tcPr/>
          <w:p>
            <w:pPr>
              <w:pStyle w:val="Compact"/>
              <w:jc w:val="left"/>
            </w:pPr>
            <w:r>
              <w:t xml:space="preserve">3–4</w:t>
            </w:r>
          </w:p>
        </w:tc>
        <w:tc>
          <w:tcPr/>
          <w:p>
            <w:pPr>
              <w:pStyle w:val="Compact"/>
              <w:jc w:val="left"/>
            </w:pPr>
            <w:r>
              <w:t xml:space="preserve">Tier 2 Factual Accuracy verification framework, LLM-as-judge integration</w:t>
            </w:r>
          </w:p>
        </w:tc>
      </w:tr>
      <w:tr>
        <w:tc>
          <w:tcPr/>
          <w:p>
            <w:pPr>
              <w:pStyle w:val="Compact"/>
              <w:jc w:val="left"/>
            </w:pPr>
            <w:r>
              <w:t xml:space="preserve">5–6</w:t>
            </w:r>
          </w:p>
        </w:tc>
        <w:tc>
          <w:tcPr/>
          <w:p>
            <w:pPr>
              <w:pStyle w:val="Compact"/>
              <w:jc w:val="left"/>
            </w:pPr>
            <w:r>
              <w:t xml:space="preserve">Tier 3 Quality Judgment evaluator assignment algorithm with rPotential UoP and Coordination Tax integration</w:t>
            </w:r>
          </w:p>
        </w:tc>
      </w:tr>
      <w:tr>
        <w:tc>
          <w:tcPr/>
          <w:p>
            <w:pPr>
              <w:pStyle w:val="Compact"/>
              <w:jc w:val="left"/>
            </w:pPr>
            <w:r>
              <w:t xml:space="preserve">7–8</w:t>
            </w:r>
          </w:p>
        </w:tc>
        <w:tc>
          <w:tcPr/>
          <w:p>
            <w:pPr>
              <w:pStyle w:val="Compact"/>
              <w:jc w:val="left"/>
            </w:pPr>
            <w:r>
              <w:t xml:space="preserve">LedgerRow schema extension with EvalResult, three-delta computation from eval-graded outcomes, admin dashboard surface</w:t>
            </w:r>
          </w:p>
        </w:tc>
      </w:tr>
      <w:tr>
        <w:tc>
          <w:tcPr/>
          <w:p>
            <w:pPr>
              <w:pStyle w:val="Compact"/>
              <w:jc w:val="left"/>
            </w:pPr>
            <w:r>
              <w:t xml:space="preserve">9–10</w:t>
            </w:r>
          </w:p>
        </w:tc>
        <w:tc>
          <w:tcPr/>
          <w:p>
            <w:pPr>
              <w:pStyle w:val="Compact"/>
              <w:jc w:val="left"/>
            </w:pPr>
            <w:r>
              <w:t xml:space="preserve">Continuous improvement flywheel at Layer 9, corrective instruction synthesis, flywheel performance tracking</w:t>
            </w:r>
          </w:p>
        </w:tc>
      </w:tr>
    </w:tbl>
    <w:p>
      <w:pPr>
        <w:pStyle w:val="BodyText"/>
      </w:pPr>
      <w:r>
        <w:t xml:space="preserve">Motion A completes in 8 weeks. Motion B completes in 6 weeks. Motion C completes in 10 weeks. All three motions are integrated into the Q3 2026 AEOS release. Public acknowledgment post and developer-tier messaging launch coincide with the release.</w:t>
      </w:r>
    </w:p>
    <w:p>
      <w:r>
        <w:pict>
          <v:rect style="width:0;height:1.5pt" o:hralign="center" o:hrstd="t" o:hr="t"/>
        </w:pict>
      </w:r>
    </w:p>
    <w:bookmarkEnd w:id="53"/>
    <w:bookmarkEnd w:id="54"/>
    <w:bookmarkStart w:id="55" w:name="success-metrics"/>
    <w:p>
      <w:pPr>
        <w:pStyle w:val="Heading2"/>
      </w:pPr>
      <w:r>
        <w:t xml:space="preserve">10. Success Metrics</w:t>
      </w:r>
    </w:p>
    <w:p>
      <w:pPr>
        <w:pStyle w:val="FirstParagraph"/>
      </w:pPr>
      <w:r>
        <w:t xml:space="preserve">The motions are evaluated against these metrics in the first six months after Q3 2026 release.</w:t>
      </w:r>
    </w:p>
    <w:p>
      <w:pPr>
        <w:pStyle w:val="BodyText"/>
      </w:pPr>
      <w:r>
        <w:rPr>
          <w:bCs/>
          <w:b/>
        </w:rPr>
        <w:t xml:space="preserve">Paperclip migration metric (Motion A).</w:t>
      </w:r>
      <w:r>
        <w:t xml:space="preserve"> </w:t>
      </w:r>
      <w:r>
        <w:t xml:space="preserve">Number of developer teams who migrate from Paperclip to AEOS in the first six months. Target: 10+ verified migrations, including at least two that progress to AEOS enterprise-tier licensing within 12 months.</w:t>
      </w:r>
    </w:p>
    <w:p>
      <w:pPr>
        <w:pStyle w:val="BodyText"/>
      </w:pPr>
      <w:r>
        <w:rPr>
          <w:bCs/>
          <w:b/>
        </w:rPr>
        <w:t xml:space="preserve">Developer-tier adoption metric (Motion A).</w:t>
      </w:r>
      <w:r>
        <w:t xml:space="preserve"> </w:t>
      </w:r>
      <w:r>
        <w:t xml:space="preserve">Number of developer-tier AEOS deployments registered in the first six months. Target: 100+ self-hosted deployments, measured by tenant registration and first-task-executed telemetry.</w:t>
      </w:r>
    </w:p>
    <w:p>
      <w:pPr>
        <w:pStyle w:val="BodyText"/>
      </w:pPr>
      <w:r>
        <w:rPr>
          <w:bCs/>
          <w:b/>
        </w:rPr>
        <w:t xml:space="preserve">Vast.ai-backed workload metric (Motion B).</w:t>
      </w:r>
      <w:r>
        <w:t xml:space="preserve"> </w:t>
      </w:r>
      <w:r>
        <w:t xml:space="preserve">Fraction of AEOS enterprise-tier task volume that routes to Vast.ai-backed open-source execution. Target: 15 percent by month three, 25 percent by month six, measured against the total AEOS task-volume metric.</w:t>
      </w:r>
    </w:p>
    <w:p>
      <w:pPr>
        <w:pStyle w:val="BodyText"/>
      </w:pPr>
      <w:r>
        <w:rPr>
          <w:bCs/>
          <w:b/>
        </w:rPr>
        <w:t xml:space="preserve">Cost-savings metric (Motion B).</w:t>
      </w:r>
      <w:r>
        <w:t xml:space="preserve"> </w:t>
      </w:r>
      <w:r>
        <w:t xml:space="preserve">Aggregate customer-reported savings from Vast.ai-backed open-source execution versus commercial API alternatives. Target: $2M+ in aggregate annualized savings reported across the AEOS enterprise-tier customer base by month six.</w:t>
      </w:r>
    </w:p>
    <w:p>
      <w:pPr>
        <w:pStyle w:val="BodyText"/>
      </w:pPr>
      <w:r>
        <w:rPr>
          <w:bCs/>
          <w:b/>
        </w:rPr>
        <w:t xml:space="preserve">Regulatory-attestation metric (Motion B).</w:t>
      </w:r>
      <w:r>
        <w:t xml:space="preserve"> </w:t>
      </w:r>
      <w:r>
        <w:t xml:space="preserve">Number of signed attestation bundles produced by AEOS that include Vast.ai infrastructure provenance for regulated-enterprise tenants. Target: all Vast.ai-backed regulated-enterprise executions carry proper attestation (100 percent coverage).</w:t>
      </w:r>
    </w:p>
    <w:p>
      <w:pPr>
        <w:pStyle w:val="BodyText"/>
      </w:pPr>
      <w:r>
        <w:rPr>
          <w:bCs/>
          <w:b/>
        </w:rPr>
        <w:t xml:space="preserve">Eval Harness flywheel metric (Motion C).</w:t>
      </w:r>
      <w:r>
        <w:t xml:space="preserve"> </w:t>
      </w:r>
      <w:r>
        <w:t xml:space="preserve">Aggregate quality improvement measured across AEOS enterprise-tier tenants operating the eval flywheel. Target: 20-30% measurable quality improvement in the first 30 days of operation per tenant, sustained or improving thereafter.</w:t>
      </w:r>
    </w:p>
    <w:p>
      <w:pPr>
        <w:pStyle w:val="BodyText"/>
      </w:pPr>
      <w:r>
        <w:rPr>
          <w:bCs/>
          <w:b/>
        </w:rPr>
        <w:t xml:space="preserve">Eval-graded outcome coverage (Motion C).</w:t>
      </w:r>
      <w:r>
        <w:t xml:space="preserve"> </w:t>
      </w:r>
      <w:r>
        <w:t xml:space="preserve">Fraction of production LedgerRows where eval_graded_success is computed from the three-tier Eval Harness rather than from vendor self-reported success. Target: 100 percent coverage on production tenants within 90 days of tenant go-live.</w:t>
      </w:r>
    </w:p>
    <w:p>
      <w:pPr>
        <w:pStyle w:val="BodyText"/>
      </w:pPr>
      <w:r>
        <w:rPr>
          <w:bCs/>
          <w:b/>
        </w:rPr>
        <w:t xml:space="preserve">Tier 3 evaluator assignment quality (Motion C).</w:t>
      </w:r>
      <w:r>
        <w:t xml:space="preserve"> </w:t>
      </w:r>
      <w:r>
        <w:t xml:space="preserve">Fraction of Tier 3 evaluator assignments where the selected evaluator is confirmed by UoP signal to be in the top-quartile of readiness for the skill at the moment of assignment. Target: 85 percent by month three, 95 percent by month six.</w:t>
      </w:r>
    </w:p>
    <w:p>
      <w:pPr>
        <w:pStyle w:val="BodyText"/>
      </w:pPr>
      <w:r>
        <w:rPr>
          <w:bCs/>
          <w:b/>
        </w:rPr>
        <w:t xml:space="preserve">Enterprise Eval Certification SKU adoption (Motion C).</w:t>
      </w:r>
      <w:r>
        <w:t xml:space="preserve"> </w:t>
      </w:r>
      <w:r>
        <w:t xml:space="preserve">Number of enterprise tenants purchasing the Enterprise Eval Certification premium SKU. Target: 5 enterprise tenants by month six, 15 by month twelve.</w:t>
      </w:r>
    </w:p>
    <w:p>
      <w:r>
        <w:pict>
          <v:rect style="width:0;height:1.5pt" o:hralign="center" o:hrstd="t" o:hr="t"/>
        </w:pict>
      </w:r>
    </w:p>
    <w:p>
      <w:pPr>
        <w:pStyle w:val="FirstParagraph"/>
      </w:pPr>
      <w:r>
        <w:rPr>
          <w:iCs/>
          <w:i/>
        </w:rPr>
        <w:t xml:space="preserve">End of Product Requirements Document.</w:t>
      </w:r>
    </w:p>
    <w:p>
      <w:pPr>
        <w:pStyle w:val="BodyText"/>
      </w:pPr>
      <w:r>
        <w:rPr>
          <w:iCs/>
          <w:i/>
        </w:rPr>
        <w:t xml:space="preserve">FuzeBox.AI · Confidential · April 2026</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2026-04-19T16:49:47Z</dcterms:created>
  <dcterms:modified xsi:type="dcterms:W3CDTF">2026-04-19T16:49:47Z</dcterms:modified>
</cp:coreProperties>
</file>

<file path=docProps/custom.xml><?xml version="1.0" encoding="utf-8"?>
<Properties xmlns="http://schemas.openxmlformats.org/officeDocument/2006/custom-properties" xmlns:vt="http://schemas.openxmlformats.org/officeDocument/2006/docPropsVTypes"/>
</file>