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C82B3" w14:textId="77777777" w:rsidR="00774C53" w:rsidRPr="00774C53" w:rsidRDefault="00774C53" w:rsidP="00774C53">
      <w:pPr>
        <w:spacing w:before="100" w:beforeAutospacing="1" w:after="100" w:afterAutospacing="1" w:line="240" w:lineRule="auto"/>
        <w:outlineLvl w:val="0"/>
        <w:rPr>
          <w:rFonts w:eastAsia="Times New Roman" w:cstheme="minorHAnsi"/>
          <w:b/>
          <w:bCs/>
          <w:color w:val="000000"/>
          <w:kern w:val="36"/>
          <w:sz w:val="40"/>
          <w:szCs w:val="40"/>
          <w14:ligatures w14:val="none"/>
        </w:rPr>
      </w:pPr>
      <w:proofErr w:type="spellStart"/>
      <w:r w:rsidRPr="00774C53">
        <w:rPr>
          <w:rFonts w:eastAsia="Times New Roman" w:cstheme="minorHAnsi"/>
          <w:b/>
          <w:bCs/>
          <w:color w:val="000000"/>
          <w:kern w:val="36"/>
          <w:sz w:val="40"/>
          <w:szCs w:val="40"/>
          <w14:ligatures w14:val="none"/>
        </w:rPr>
        <w:t>FuzeBox</w:t>
      </w:r>
      <w:proofErr w:type="spellEnd"/>
      <w:r w:rsidRPr="00774C53">
        <w:rPr>
          <w:rFonts w:eastAsia="Times New Roman" w:cstheme="minorHAnsi"/>
          <w:b/>
          <w:bCs/>
          <w:color w:val="000000"/>
          <w:kern w:val="36"/>
          <w:sz w:val="40"/>
          <w:szCs w:val="40"/>
          <w14:ligatures w14:val="none"/>
        </w:rPr>
        <w:t xml:space="preserve"> AEOS: Governance Strategy Framework for Multi-Vendor AI Runtimes</w:t>
      </w:r>
    </w:p>
    <w:p w14:paraId="690EC0E0" w14:textId="77777777" w:rsidR="00774C53" w:rsidRPr="00774C53" w:rsidRDefault="00774C53" w:rsidP="00774C53">
      <w:pPr>
        <w:spacing w:before="100" w:beforeAutospacing="1" w:after="100" w:afterAutospacing="1" w:line="240" w:lineRule="auto"/>
        <w:outlineLvl w:val="1"/>
        <w:rPr>
          <w:rFonts w:eastAsia="Times New Roman" w:cstheme="minorHAnsi"/>
          <w:b/>
          <w:bCs/>
          <w:color w:val="000000"/>
          <w:kern w:val="0"/>
          <w:sz w:val="28"/>
          <w:szCs w:val="28"/>
          <w14:ligatures w14:val="none"/>
        </w:rPr>
      </w:pPr>
      <w:r w:rsidRPr="00774C53">
        <w:rPr>
          <w:rFonts w:eastAsia="Times New Roman" w:cstheme="minorHAnsi"/>
          <w:b/>
          <w:bCs/>
          <w:color w:val="000000"/>
          <w:kern w:val="0"/>
          <w:sz w:val="28"/>
          <w:szCs w:val="28"/>
          <w14:ligatures w14:val="none"/>
        </w:rPr>
        <w:t>1. The Strategic Imperative: Neutrality in a Multi-Vendor AI Landscape</w:t>
      </w:r>
    </w:p>
    <w:p w14:paraId="760A45E3"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In the architectural reality of 2026, the Fortune 500 enterprise is inherently and permanently multi-vendor. Single-vendor standardization has become a strategic impossibility. This structural necessity is driven by a landscape where risk postures, diverse regulatory mandates across jurisdictions, and the granular economics of the global workforce forbid concentration on any one provider. Enterprises are now forced to navigate a fragmented ecosystem where high-reasoning tasks on one stack must coexist with high-volume structured workflows on another, often integrated with specialized process engines or voice-first automation.</w:t>
      </w:r>
    </w:p>
    <w:p w14:paraId="0328009E"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To manage this fragmentation, the enterprise requires a neutral control plane that resides above the individual runtime stacks. Traditional vendors are commercially disqualified from this role; they cannot provide a neutral view of execution outcomes across their competitors, nor can they be trusted to enforce labor-preservation constraints that might reduce their own API consumption. This necessity creates "Four Questions" that no single runtime vendor can answer:</w:t>
      </w:r>
    </w:p>
    <w:p w14:paraId="30AC5722" w14:textId="77777777" w:rsidR="00774C53" w:rsidRPr="00774C53" w:rsidRDefault="00774C53" w:rsidP="00774C53">
      <w:pPr>
        <w:numPr>
          <w:ilvl w:val="0"/>
          <w:numId w:val="1"/>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Capability Drift:</w:t>
      </w:r>
      <w:r w:rsidRPr="00774C53">
        <w:rPr>
          <w:rFonts w:eastAsia="Times New Roman" w:cstheme="minorHAnsi"/>
          <w:color w:val="000000"/>
          <w:kern w:val="0"/>
          <w:sz w:val="21"/>
          <w:szCs w:val="21"/>
          <w14:ligatures w14:val="none"/>
        </w:rPr>
        <w:t> Is AI transformation preserving or eroding human strategic capability (the shift from human strategic capacity to total AI-dependency)?</w:t>
      </w:r>
    </w:p>
    <w:p w14:paraId="5E9793DC" w14:textId="77777777" w:rsidR="00774C53" w:rsidRPr="00774C53" w:rsidRDefault="00774C53" w:rsidP="00774C53">
      <w:pPr>
        <w:numPr>
          <w:ilvl w:val="0"/>
          <w:numId w:val="1"/>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Economic Return:</w:t>
      </w:r>
      <w:r w:rsidRPr="00774C53">
        <w:rPr>
          <w:rFonts w:eastAsia="Times New Roman" w:cstheme="minorHAnsi"/>
          <w:color w:val="000000"/>
          <w:kern w:val="0"/>
          <w:sz w:val="21"/>
          <w:szCs w:val="21"/>
          <w14:ligatures w14:val="none"/>
        </w:rPr>
        <w:t xml:space="preserve"> What </w:t>
      </w:r>
      <w:proofErr w:type="gramStart"/>
      <w:r w:rsidRPr="00774C53">
        <w:rPr>
          <w:rFonts w:eastAsia="Times New Roman" w:cstheme="minorHAnsi"/>
          <w:color w:val="000000"/>
          <w:kern w:val="0"/>
          <w:sz w:val="21"/>
          <w:szCs w:val="21"/>
          <w14:ligatures w14:val="none"/>
        </w:rPr>
        <w:t>is</w:t>
      </w:r>
      <w:proofErr w:type="gramEnd"/>
      <w:r w:rsidRPr="00774C53">
        <w:rPr>
          <w:rFonts w:eastAsia="Times New Roman" w:cstheme="minorHAnsi"/>
          <w:color w:val="000000"/>
          <w:kern w:val="0"/>
          <w:sz w:val="21"/>
          <w:szCs w:val="21"/>
          <w14:ligatures w14:val="none"/>
        </w:rPr>
        <w:t xml:space="preserve"> the actual ROI of transformation spend when decomposed by skill, country, and vendor?</w:t>
      </w:r>
    </w:p>
    <w:p w14:paraId="78104DF6" w14:textId="77777777" w:rsidR="00774C53" w:rsidRPr="00774C53" w:rsidRDefault="00774C53" w:rsidP="00774C53">
      <w:pPr>
        <w:numPr>
          <w:ilvl w:val="0"/>
          <w:numId w:val="1"/>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Workforce Preservation:</w:t>
      </w:r>
      <w:r w:rsidRPr="00774C53">
        <w:rPr>
          <w:rFonts w:eastAsia="Times New Roman" w:cstheme="minorHAnsi"/>
          <w:color w:val="000000"/>
          <w:kern w:val="0"/>
          <w:sz w:val="21"/>
          <w:szCs w:val="21"/>
          <w14:ligatures w14:val="none"/>
        </w:rPr>
        <w:t> Which strategic capabilities are drifting out of the workforce, and is there a corrective routing mechanism to stop it?</w:t>
      </w:r>
    </w:p>
    <w:p w14:paraId="248BDDEA" w14:textId="77777777" w:rsidR="00774C53" w:rsidRPr="00774C53" w:rsidRDefault="00774C53" w:rsidP="00774C53">
      <w:pPr>
        <w:numPr>
          <w:ilvl w:val="0"/>
          <w:numId w:val="1"/>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Regulatory Explainability:</w:t>
      </w:r>
      <w:r w:rsidRPr="00774C53">
        <w:rPr>
          <w:rFonts w:eastAsia="Times New Roman" w:cstheme="minorHAnsi"/>
          <w:color w:val="000000"/>
          <w:kern w:val="0"/>
          <w:sz w:val="21"/>
          <w:szCs w:val="21"/>
          <w14:ligatures w14:val="none"/>
        </w:rPr>
        <w:t> Can every automated decision be traced back to the specific policies and signals that produced it with a cryptographically signed audit trail?</w:t>
      </w:r>
    </w:p>
    <w:p w14:paraId="24CD241D"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The Three Permanent Conditions of Multi-Vendor Necessity</w:t>
      </w:r>
    </w:p>
    <w:p w14:paraId="6CEF38A9" w14:textId="77777777" w:rsidR="00774C53" w:rsidRPr="00774C53" w:rsidRDefault="00774C53" w:rsidP="00774C53">
      <w:pPr>
        <w:numPr>
          <w:ilvl w:val="0"/>
          <w:numId w:val="2"/>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Enterprise Risk Posture:</w:t>
      </w:r>
      <w:r w:rsidRPr="00774C53">
        <w:rPr>
          <w:rFonts w:eastAsia="Times New Roman" w:cstheme="minorHAnsi"/>
          <w:color w:val="000000"/>
          <w:kern w:val="0"/>
          <w:sz w:val="21"/>
          <w:szCs w:val="21"/>
          <w14:ligatures w14:val="none"/>
        </w:rPr>
        <w:t> Forbids single-vendor concentration to ensure business continuity, resilience, and negotiation leverage.</w:t>
      </w:r>
    </w:p>
    <w:p w14:paraId="305D9A37" w14:textId="77777777" w:rsidR="00774C53" w:rsidRPr="00774C53" w:rsidRDefault="00774C53" w:rsidP="00774C53">
      <w:pPr>
        <w:numPr>
          <w:ilvl w:val="0"/>
          <w:numId w:val="2"/>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Regulatory Footprint:</w:t>
      </w:r>
      <w:r w:rsidRPr="00774C53">
        <w:rPr>
          <w:rFonts w:eastAsia="Times New Roman" w:cstheme="minorHAnsi"/>
          <w:color w:val="000000"/>
          <w:kern w:val="0"/>
          <w:sz w:val="21"/>
          <w:szCs w:val="21"/>
          <w14:ligatures w14:val="none"/>
        </w:rPr>
        <w:t> Jurisdictional laws (e.g., EU AI Act, PDPA) require localized runtime selection and region-specific data residency.</w:t>
      </w:r>
    </w:p>
    <w:p w14:paraId="11F1FC56" w14:textId="77777777" w:rsidR="00774C53" w:rsidRPr="00774C53" w:rsidRDefault="00774C53" w:rsidP="00774C53">
      <w:pPr>
        <w:numPr>
          <w:ilvl w:val="0"/>
          <w:numId w:val="2"/>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Workforce Economics:</w:t>
      </w:r>
      <w:r w:rsidRPr="00774C53">
        <w:rPr>
          <w:rFonts w:eastAsia="Times New Roman" w:cstheme="minorHAnsi"/>
          <w:color w:val="000000"/>
          <w:kern w:val="0"/>
          <w:sz w:val="21"/>
          <w:szCs w:val="21"/>
          <w14:ligatures w14:val="none"/>
        </w:rPr>
        <w:t> Economics differ by business unit and task; routing optimization must happen at the per-task level rather than the enterprise level to maintain margins.</w:t>
      </w:r>
    </w:p>
    <w:p w14:paraId="0B6A263E"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This strategic requirement for neutrality is operationalized through the Integration Abstraction Layer.</w:t>
      </w:r>
    </w:p>
    <w:p w14:paraId="0249D871" w14:textId="77777777" w:rsidR="00774C53" w:rsidRPr="00774C53" w:rsidRDefault="00774C53" w:rsidP="00774C53">
      <w:pPr>
        <w:spacing w:before="100" w:beforeAutospacing="1" w:after="100" w:afterAutospacing="1" w:line="240" w:lineRule="auto"/>
        <w:outlineLvl w:val="1"/>
        <w:rPr>
          <w:rFonts w:eastAsia="Times New Roman" w:cstheme="minorHAnsi"/>
          <w:b/>
          <w:bCs/>
          <w:color w:val="000000"/>
          <w:kern w:val="0"/>
          <w:sz w:val="28"/>
          <w:szCs w:val="28"/>
          <w14:ligatures w14:val="none"/>
        </w:rPr>
      </w:pPr>
      <w:r w:rsidRPr="00774C53">
        <w:rPr>
          <w:rFonts w:eastAsia="Times New Roman" w:cstheme="minorHAnsi"/>
          <w:b/>
          <w:bCs/>
          <w:color w:val="000000"/>
          <w:kern w:val="0"/>
          <w:sz w:val="28"/>
          <w:szCs w:val="28"/>
          <w14:ligatures w14:val="none"/>
        </w:rPr>
        <w:t>2. The Integration Abstraction Layer (IAL) and Adapter Gateway Architecture</w:t>
      </w:r>
    </w:p>
    <w:p w14:paraId="66011834"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The Integration Abstraction Layer (IAL) serves as the architectural buffer between enterprise policy and the fragmented vendor API landscape. By decoupling intent and policy from vendor execution, the IAL prevents the technical and commercial lock-in that occurs when governance is buried inside a specific vendor's ecosystem.</w:t>
      </w:r>
    </w:p>
    <w:p w14:paraId="530A62BA"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lastRenderedPageBreak/>
        <w:t>Configure the </w:t>
      </w:r>
      <w:r w:rsidRPr="00774C53">
        <w:rPr>
          <w:rFonts w:eastAsia="Times New Roman" w:cstheme="minorHAnsi"/>
          <w:b/>
          <w:bCs/>
          <w:color w:val="000000"/>
          <w:kern w:val="0"/>
          <w:sz w:val="21"/>
          <w:szCs w:val="21"/>
          <w14:ligatures w14:val="none"/>
        </w:rPr>
        <w:t>Adapter Gateway (Layer 8)</w:t>
      </w:r>
      <w:r w:rsidRPr="00774C53">
        <w:rPr>
          <w:rFonts w:eastAsia="Times New Roman" w:cstheme="minorHAnsi"/>
          <w:color w:val="000000"/>
          <w:kern w:val="0"/>
          <w:sz w:val="21"/>
          <w:szCs w:val="21"/>
          <w14:ligatures w14:val="none"/>
        </w:rPr>
        <w:t> to treat every runtime as a "first-class peer." Built on a pluggable Go interface, the gateway dispatches tasks across a diverse array of specialized providers without privileging any single entity in the codebase.</w:t>
      </w:r>
    </w:p>
    <w:tbl>
      <w:tblPr>
        <w:tblW w:w="1176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86"/>
        <w:gridCol w:w="5293"/>
        <w:gridCol w:w="4581"/>
      </w:tblGrid>
      <w:tr w:rsidR="00774C53" w:rsidRPr="00774C53" w14:paraId="1AC0BC3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07A5043"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Runtime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7F65FA3F"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Primary Use Cases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63E2FE9"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Integration Surface</w:t>
            </w:r>
          </w:p>
        </w:tc>
      </w:tr>
      <w:tr w:rsidR="00774C53" w:rsidRPr="00774C53" w14:paraId="6F47C47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F0130CA"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Anthropic Claude</w:t>
            </w:r>
          </w:p>
        </w:tc>
        <w:tc>
          <w:tcPr>
            <w:tcW w:w="0" w:type="auto"/>
            <w:tcBorders>
              <w:top w:val="outset" w:sz="6" w:space="0" w:color="auto"/>
              <w:left w:val="outset" w:sz="6" w:space="0" w:color="auto"/>
              <w:bottom w:val="outset" w:sz="6" w:space="0" w:color="auto"/>
              <w:right w:val="outset" w:sz="6" w:space="0" w:color="auto"/>
            </w:tcBorders>
            <w:vAlign w:val="center"/>
            <w:hideMark/>
          </w:tcPr>
          <w:p w14:paraId="1BB9B909"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Reasoning-heavy synthesis; strategic workflows.</w:t>
            </w:r>
          </w:p>
        </w:tc>
        <w:tc>
          <w:tcPr>
            <w:tcW w:w="0" w:type="auto"/>
            <w:tcBorders>
              <w:top w:val="outset" w:sz="6" w:space="0" w:color="auto"/>
              <w:left w:val="outset" w:sz="6" w:space="0" w:color="auto"/>
              <w:bottom w:val="outset" w:sz="6" w:space="0" w:color="auto"/>
              <w:right w:val="outset" w:sz="6" w:space="0" w:color="auto"/>
            </w:tcBorders>
            <w:vAlign w:val="center"/>
            <w:hideMark/>
          </w:tcPr>
          <w:p w14:paraId="3EFC474A"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Messages API, MCP, Claude Code SDK</w:t>
            </w:r>
          </w:p>
        </w:tc>
      </w:tr>
      <w:tr w:rsidR="00774C53" w:rsidRPr="00774C53" w14:paraId="77D4D7C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F49CAC0"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OpenAI GPT</w:t>
            </w:r>
          </w:p>
        </w:tc>
        <w:tc>
          <w:tcPr>
            <w:tcW w:w="0" w:type="auto"/>
            <w:tcBorders>
              <w:top w:val="outset" w:sz="6" w:space="0" w:color="auto"/>
              <w:left w:val="outset" w:sz="6" w:space="0" w:color="auto"/>
              <w:bottom w:val="outset" w:sz="6" w:space="0" w:color="auto"/>
              <w:right w:val="outset" w:sz="6" w:space="0" w:color="auto"/>
            </w:tcBorders>
            <w:vAlign w:val="center"/>
            <w:hideMark/>
          </w:tcPr>
          <w:p w14:paraId="3CF3EB69"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 xml:space="preserve">High-volume conversational; </w:t>
            </w:r>
            <w:proofErr w:type="gramStart"/>
            <w:r w:rsidRPr="00774C53">
              <w:rPr>
                <w:rFonts w:eastAsia="Times New Roman" w:cstheme="minorHAnsi"/>
                <w:color w:val="000000"/>
                <w:kern w:val="0"/>
                <w:sz w:val="21"/>
                <w:szCs w:val="21"/>
                <w14:ligatures w14:val="none"/>
              </w:rPr>
              <w:t>structured-output</w:t>
            </w:r>
            <w:proofErr w:type="gramEnd"/>
            <w:r w:rsidRPr="00774C53">
              <w:rPr>
                <w:rFonts w:eastAsia="Times New Roman" w:cstheme="minorHAnsi"/>
                <w:color w:val="000000"/>
                <w:kern w:val="0"/>
                <w:sz w:val="21"/>
                <w:szCs w:val="21"/>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49AF5CE"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 xml:space="preserve">Responses API, </w:t>
            </w:r>
            <w:proofErr w:type="spellStart"/>
            <w:r w:rsidRPr="00774C53">
              <w:rPr>
                <w:rFonts w:eastAsia="Times New Roman" w:cstheme="minorHAnsi"/>
                <w:color w:val="000000"/>
                <w:kern w:val="0"/>
                <w:sz w:val="21"/>
                <w:szCs w:val="21"/>
                <w14:ligatures w14:val="none"/>
              </w:rPr>
              <w:t>AgentKit</w:t>
            </w:r>
            <w:proofErr w:type="spellEnd"/>
            <w:r w:rsidRPr="00774C53">
              <w:rPr>
                <w:rFonts w:eastAsia="Times New Roman" w:cstheme="minorHAnsi"/>
                <w:color w:val="000000"/>
                <w:kern w:val="0"/>
                <w:sz w:val="21"/>
                <w:szCs w:val="21"/>
                <w14:ligatures w14:val="none"/>
              </w:rPr>
              <w:t>, Assistants API</w:t>
            </w:r>
          </w:p>
        </w:tc>
      </w:tr>
      <w:tr w:rsidR="00774C53" w:rsidRPr="00774C53" w14:paraId="29F96C5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B677F9B"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Google Vertex AI</w:t>
            </w:r>
          </w:p>
        </w:tc>
        <w:tc>
          <w:tcPr>
            <w:tcW w:w="0" w:type="auto"/>
            <w:tcBorders>
              <w:top w:val="outset" w:sz="6" w:space="0" w:color="auto"/>
              <w:left w:val="outset" w:sz="6" w:space="0" w:color="auto"/>
              <w:bottom w:val="outset" w:sz="6" w:space="0" w:color="auto"/>
              <w:right w:val="outset" w:sz="6" w:space="0" w:color="auto"/>
            </w:tcBorders>
            <w:vAlign w:val="center"/>
            <w:hideMark/>
          </w:tcPr>
          <w:p w14:paraId="0C9736B4"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Multi-modal tasks; Search/Workspace integration.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01A3F41"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Gemini API, Agent Builder, Agent Garden</w:t>
            </w:r>
          </w:p>
        </w:tc>
      </w:tr>
      <w:tr w:rsidR="00774C53" w:rsidRPr="00774C53" w14:paraId="4FA7CA0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0BF1E20"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Microsoft Azure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1EF39282"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Microsoft estate (Teams, SharePoint, Purview).</w:t>
            </w:r>
          </w:p>
        </w:tc>
        <w:tc>
          <w:tcPr>
            <w:tcW w:w="0" w:type="auto"/>
            <w:tcBorders>
              <w:top w:val="outset" w:sz="6" w:space="0" w:color="auto"/>
              <w:left w:val="outset" w:sz="6" w:space="0" w:color="auto"/>
              <w:bottom w:val="outset" w:sz="6" w:space="0" w:color="auto"/>
              <w:right w:val="outset" w:sz="6" w:space="0" w:color="auto"/>
            </w:tcBorders>
            <w:vAlign w:val="center"/>
            <w:hideMark/>
          </w:tcPr>
          <w:p w14:paraId="014859C0"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Semantic Kernel, Copilot Studio, Purview</w:t>
            </w:r>
          </w:p>
        </w:tc>
      </w:tr>
      <w:tr w:rsidR="00774C53" w:rsidRPr="00774C53" w14:paraId="75732EA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2FE5FFC"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Salesforce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23B52C00"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CRM-adjacent; customer source-of-truth.</w:t>
            </w:r>
          </w:p>
        </w:tc>
        <w:tc>
          <w:tcPr>
            <w:tcW w:w="0" w:type="auto"/>
            <w:tcBorders>
              <w:top w:val="outset" w:sz="6" w:space="0" w:color="auto"/>
              <w:left w:val="outset" w:sz="6" w:space="0" w:color="auto"/>
              <w:bottom w:val="outset" w:sz="6" w:space="0" w:color="auto"/>
              <w:right w:val="outset" w:sz="6" w:space="0" w:color="auto"/>
            </w:tcBorders>
            <w:vAlign w:val="center"/>
            <w:hideMark/>
          </w:tcPr>
          <w:p w14:paraId="7865D397"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Agent API, Data Cloud, MuleSoft</w:t>
            </w:r>
          </w:p>
        </w:tc>
      </w:tr>
      <w:tr w:rsidR="00774C53" w:rsidRPr="00774C53" w14:paraId="7E1963B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ED1C4F6"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Pega</w:t>
            </w:r>
          </w:p>
        </w:tc>
        <w:tc>
          <w:tcPr>
            <w:tcW w:w="0" w:type="auto"/>
            <w:tcBorders>
              <w:top w:val="outset" w:sz="6" w:space="0" w:color="auto"/>
              <w:left w:val="outset" w:sz="6" w:space="0" w:color="auto"/>
              <w:bottom w:val="outset" w:sz="6" w:space="0" w:color="auto"/>
              <w:right w:val="outset" w:sz="6" w:space="0" w:color="auto"/>
            </w:tcBorders>
            <w:vAlign w:val="center"/>
            <w:hideMark/>
          </w:tcPr>
          <w:p w14:paraId="307DFACB"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Regulated back-office; claims/underwriting.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C0B0706"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Agentic Process Fabric, Pega Blueprint</w:t>
            </w:r>
          </w:p>
        </w:tc>
      </w:tr>
      <w:tr w:rsidR="00774C53" w:rsidRPr="00774C53" w14:paraId="1831EAA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F1465E3"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Cloudflare</w:t>
            </w:r>
          </w:p>
        </w:tc>
        <w:tc>
          <w:tcPr>
            <w:tcW w:w="0" w:type="auto"/>
            <w:tcBorders>
              <w:top w:val="outset" w:sz="6" w:space="0" w:color="auto"/>
              <w:left w:val="outset" w:sz="6" w:space="0" w:color="auto"/>
              <w:bottom w:val="outset" w:sz="6" w:space="0" w:color="auto"/>
              <w:right w:val="outset" w:sz="6" w:space="0" w:color="auto"/>
            </w:tcBorders>
            <w:vAlign w:val="center"/>
            <w:hideMark/>
          </w:tcPr>
          <w:p w14:paraId="3C9584AA"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Edge inference; durable hibernating agents.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4F0F475F"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Workers AI, Durable Objects (Project Think)</w:t>
            </w:r>
          </w:p>
        </w:tc>
      </w:tr>
      <w:tr w:rsidR="00774C53" w:rsidRPr="00774C53" w14:paraId="70E0D0E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E037B55"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proofErr w:type="spellStart"/>
            <w:r w:rsidRPr="00774C53">
              <w:rPr>
                <w:rFonts w:eastAsia="Times New Roman" w:cstheme="minorHAnsi"/>
                <w:b/>
                <w:bCs/>
                <w:color w:val="000000"/>
                <w:kern w:val="0"/>
                <w:sz w:val="21"/>
                <w:szCs w:val="21"/>
                <w14:ligatures w14:val="none"/>
              </w:rPr>
              <w:t>Uniphore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69F38FA"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Voice-first contact center; CX specialization.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559CB80"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Business AI Cloud, Agent Builder</w:t>
            </w:r>
          </w:p>
        </w:tc>
      </w:tr>
    </w:tbl>
    <w:p w14:paraId="7BBC15B8"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This "neutrality-by-design" principle is enforced through a Go plugin architecture. By requiring every connection to implement a common interface, the Adapter Gateway ensures that adding a new runtime—be it a frontier model or an open-source alternative like Mistral on Vast.ai—is a routine plugin operation rather than a core system refactor. This granular enforcement of adapters is further refined through Boundary Controls.</w:t>
      </w:r>
    </w:p>
    <w:p w14:paraId="799A3D2F" w14:textId="77777777" w:rsidR="00774C53" w:rsidRPr="00774C53" w:rsidRDefault="00774C53" w:rsidP="00774C53">
      <w:pPr>
        <w:spacing w:before="100" w:beforeAutospacing="1" w:after="100" w:afterAutospacing="1" w:line="240" w:lineRule="auto"/>
        <w:outlineLvl w:val="1"/>
        <w:rPr>
          <w:rFonts w:eastAsia="Times New Roman" w:cstheme="minorHAnsi"/>
          <w:b/>
          <w:bCs/>
          <w:color w:val="000000"/>
          <w:kern w:val="0"/>
          <w:sz w:val="28"/>
          <w:szCs w:val="28"/>
          <w14:ligatures w14:val="none"/>
        </w:rPr>
      </w:pPr>
      <w:r w:rsidRPr="00774C53">
        <w:rPr>
          <w:rFonts w:eastAsia="Times New Roman" w:cstheme="minorHAnsi"/>
          <w:b/>
          <w:bCs/>
          <w:color w:val="000000"/>
          <w:kern w:val="0"/>
          <w:sz w:val="28"/>
          <w:szCs w:val="28"/>
          <w14:ligatures w14:val="none"/>
        </w:rPr>
        <w:t>3. Boundary Controls: Multi-Jurisdictional Governance Architectures</w:t>
      </w:r>
    </w:p>
    <w:p w14:paraId="2D2A3254"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Governance in a global enterprise must be granular. A "Boundary" is a governed connection between the control plane and a runtime vendor that enables a "Same Vendor, Different Rules" model. This allows an enterprise to utilize the same model (e.g., Anthropic Claude) across different regions while enforcing distinct governance constraints based on local legal and workforce requirements.</w:t>
      </w:r>
    </w:p>
    <w:p w14:paraId="46D99CE7"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Every </w:t>
      </w:r>
      <w:r w:rsidRPr="00774C53">
        <w:rPr>
          <w:rFonts w:eastAsia="Times New Roman" w:cstheme="minorHAnsi"/>
          <w:b/>
          <w:bCs/>
          <w:color w:val="000000"/>
          <w:kern w:val="0"/>
          <w:sz w:val="21"/>
          <w:szCs w:val="21"/>
          <w14:ligatures w14:val="none"/>
        </w:rPr>
        <w:t>Boundary Configuration</w:t>
      </w:r>
      <w:r w:rsidRPr="00774C53">
        <w:rPr>
          <w:rFonts w:eastAsia="Times New Roman" w:cstheme="minorHAnsi"/>
          <w:color w:val="000000"/>
          <w:kern w:val="0"/>
          <w:sz w:val="21"/>
          <w:szCs w:val="21"/>
          <w14:ligatures w14:val="none"/>
        </w:rPr>
        <w:t> is composed of several critical enforcement elements:</w:t>
      </w:r>
    </w:p>
    <w:p w14:paraId="25652256" w14:textId="77777777" w:rsidR="00774C53" w:rsidRPr="00774C53" w:rsidRDefault="00774C53" w:rsidP="00774C53">
      <w:pPr>
        <w:numPr>
          <w:ilvl w:val="0"/>
          <w:numId w:val="3"/>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Trust Tiers:</w:t>
      </w:r>
      <w:r w:rsidRPr="00774C53">
        <w:rPr>
          <w:rFonts w:eastAsia="Times New Roman" w:cstheme="minorHAnsi"/>
          <w:color w:val="000000"/>
          <w:kern w:val="0"/>
          <w:sz w:val="21"/>
          <w:szCs w:val="21"/>
          <w14:ligatures w14:val="none"/>
        </w:rPr>
        <w:t> Ranges from "Low" (innovation sandboxes) to "Highest" (regulated financial or human-only execution).</w:t>
      </w:r>
    </w:p>
    <w:p w14:paraId="33E2FD9B" w14:textId="77777777" w:rsidR="00774C53" w:rsidRPr="00774C53" w:rsidRDefault="00774C53" w:rsidP="00774C53">
      <w:pPr>
        <w:numPr>
          <w:ilvl w:val="0"/>
          <w:numId w:val="3"/>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Data Residency:</w:t>
      </w:r>
      <w:r w:rsidRPr="00774C53">
        <w:rPr>
          <w:rFonts w:eastAsia="Times New Roman" w:cstheme="minorHAnsi"/>
          <w:color w:val="000000"/>
          <w:kern w:val="0"/>
          <w:sz w:val="21"/>
          <w:szCs w:val="21"/>
          <w14:ligatures w14:val="none"/>
        </w:rPr>
        <w:t> Strict routing to region-specific endpoints (e.g., EU-only vs. US-only).</w:t>
      </w:r>
    </w:p>
    <w:p w14:paraId="2627FE46" w14:textId="77777777" w:rsidR="00774C53" w:rsidRPr="00774C53" w:rsidRDefault="00774C53" w:rsidP="00774C53">
      <w:pPr>
        <w:numPr>
          <w:ilvl w:val="0"/>
          <w:numId w:val="3"/>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Allowed/Excluded Skills:</w:t>
      </w:r>
      <w:r w:rsidRPr="00774C53">
        <w:rPr>
          <w:rFonts w:eastAsia="Times New Roman" w:cstheme="minorHAnsi"/>
          <w:color w:val="000000"/>
          <w:kern w:val="0"/>
          <w:sz w:val="21"/>
          <w:szCs w:val="21"/>
          <w14:ligatures w14:val="none"/>
        </w:rPr>
        <w:t> Permissions defining exactly which executable skills a specific runtime is authorized to perform.</w:t>
      </w:r>
    </w:p>
    <w:p w14:paraId="67528A89" w14:textId="77777777" w:rsidR="00774C53" w:rsidRPr="00774C53" w:rsidRDefault="00774C53" w:rsidP="00774C53">
      <w:pPr>
        <w:numPr>
          <w:ilvl w:val="0"/>
          <w:numId w:val="3"/>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Human Signoff Requirements:</w:t>
      </w:r>
      <w:r w:rsidRPr="00774C53">
        <w:rPr>
          <w:rFonts w:eastAsia="Times New Roman" w:cstheme="minorHAnsi"/>
          <w:color w:val="000000"/>
          <w:kern w:val="0"/>
          <w:sz w:val="21"/>
          <w:szCs w:val="21"/>
          <w14:ligatures w14:val="none"/>
        </w:rPr>
        <w:t> Mandates for human review based on risk, value, or regulatory triggers.</w:t>
      </w:r>
    </w:p>
    <w:p w14:paraId="64999211" w14:textId="77777777" w:rsidR="00774C53" w:rsidRPr="00774C53" w:rsidRDefault="00774C53" w:rsidP="00774C53">
      <w:pPr>
        <w:numPr>
          <w:ilvl w:val="0"/>
          <w:numId w:val="3"/>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Max Autonomous Decision Value:</w:t>
      </w:r>
      <w:r w:rsidRPr="00774C53">
        <w:rPr>
          <w:rFonts w:eastAsia="Times New Roman" w:cstheme="minorHAnsi"/>
          <w:color w:val="000000"/>
          <w:kern w:val="0"/>
          <w:sz w:val="21"/>
          <w:szCs w:val="21"/>
          <w14:ligatures w14:val="none"/>
        </w:rPr>
        <w:t> A hard financial cap on the value an agent can commit without human oversight.</w:t>
      </w:r>
    </w:p>
    <w:p w14:paraId="72859062"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The following boundaries illustrate how AEOS differentiates governance within a single enterprise:</w:t>
      </w:r>
    </w:p>
    <w:p w14:paraId="0900E343" w14:textId="77777777" w:rsidR="00774C53" w:rsidRPr="00774C53" w:rsidRDefault="00774C53" w:rsidP="00774C53">
      <w:pPr>
        <w:numPr>
          <w:ilvl w:val="0"/>
          <w:numId w:val="4"/>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Boundary A: US Regulated Financial</w:t>
      </w:r>
    </w:p>
    <w:p w14:paraId="021B24C9" w14:textId="77777777" w:rsidR="00774C53" w:rsidRPr="00774C53" w:rsidRDefault="00774C53" w:rsidP="00774C53">
      <w:pPr>
        <w:numPr>
          <w:ilvl w:val="1"/>
          <w:numId w:val="4"/>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i/>
          <w:iCs/>
          <w:color w:val="000000"/>
          <w:kern w:val="0"/>
          <w:sz w:val="21"/>
          <w:szCs w:val="21"/>
          <w14:ligatures w14:val="none"/>
        </w:rPr>
        <w:t>Policy Packs:</w:t>
      </w:r>
      <w:r w:rsidRPr="00774C53">
        <w:rPr>
          <w:rFonts w:eastAsia="Times New Roman" w:cstheme="minorHAnsi"/>
          <w:color w:val="000000"/>
          <w:kern w:val="0"/>
          <w:sz w:val="21"/>
          <w:szCs w:val="21"/>
          <w14:ligatures w14:val="none"/>
        </w:rPr>
        <w:t> SOC 2, State FS.</w:t>
      </w:r>
    </w:p>
    <w:p w14:paraId="665EE345" w14:textId="77777777" w:rsidR="00774C53" w:rsidRPr="00774C53" w:rsidRDefault="00774C53" w:rsidP="00774C53">
      <w:pPr>
        <w:numPr>
          <w:ilvl w:val="1"/>
          <w:numId w:val="4"/>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i/>
          <w:iCs/>
          <w:color w:val="000000"/>
          <w:kern w:val="0"/>
          <w:sz w:val="21"/>
          <w:szCs w:val="21"/>
          <w14:ligatures w14:val="none"/>
        </w:rPr>
        <w:t>Data Residency:</w:t>
      </w:r>
      <w:r w:rsidRPr="00774C53">
        <w:rPr>
          <w:rFonts w:eastAsia="Times New Roman" w:cstheme="minorHAnsi"/>
          <w:color w:val="000000"/>
          <w:kern w:val="0"/>
          <w:sz w:val="21"/>
          <w:szCs w:val="21"/>
          <w14:ligatures w14:val="none"/>
        </w:rPr>
        <w:t> US-based endpoints.</w:t>
      </w:r>
    </w:p>
    <w:p w14:paraId="6141CD5F" w14:textId="77777777" w:rsidR="00774C53" w:rsidRPr="00774C53" w:rsidRDefault="00774C53" w:rsidP="00774C53">
      <w:pPr>
        <w:numPr>
          <w:ilvl w:val="1"/>
          <w:numId w:val="4"/>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i/>
          <w:iCs/>
          <w:color w:val="000000"/>
          <w:kern w:val="0"/>
          <w:sz w:val="21"/>
          <w:szCs w:val="21"/>
          <w14:ligatures w14:val="none"/>
        </w:rPr>
        <w:t>Signoff:</w:t>
      </w:r>
      <w:r w:rsidRPr="00774C53">
        <w:rPr>
          <w:rFonts w:eastAsia="Times New Roman" w:cstheme="minorHAnsi"/>
          <w:color w:val="000000"/>
          <w:kern w:val="0"/>
          <w:sz w:val="21"/>
          <w:szCs w:val="21"/>
          <w14:ligatures w14:val="none"/>
        </w:rPr>
        <w:t> Risk-based human oversight for all financial commitments.</w:t>
      </w:r>
    </w:p>
    <w:p w14:paraId="3470974B" w14:textId="77777777" w:rsidR="00774C53" w:rsidRPr="00774C53" w:rsidRDefault="00774C53" w:rsidP="00774C53">
      <w:pPr>
        <w:numPr>
          <w:ilvl w:val="1"/>
          <w:numId w:val="4"/>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i/>
          <w:iCs/>
          <w:color w:val="000000"/>
          <w:kern w:val="0"/>
          <w:sz w:val="21"/>
          <w:szCs w:val="21"/>
          <w14:ligatures w14:val="none"/>
        </w:rPr>
        <w:t>Decision Cap:</w:t>
      </w:r>
      <w:r w:rsidRPr="00774C53">
        <w:rPr>
          <w:rFonts w:eastAsia="Times New Roman" w:cstheme="minorHAnsi"/>
          <w:color w:val="000000"/>
          <w:kern w:val="0"/>
          <w:sz w:val="21"/>
          <w:szCs w:val="21"/>
          <w14:ligatures w14:val="none"/>
        </w:rPr>
        <w:t> $50,000 max autonomous value.</w:t>
      </w:r>
    </w:p>
    <w:p w14:paraId="5E68F3A8" w14:textId="77777777" w:rsidR="00774C53" w:rsidRPr="00774C53" w:rsidRDefault="00774C53" w:rsidP="00774C53">
      <w:pPr>
        <w:numPr>
          <w:ilvl w:val="0"/>
          <w:numId w:val="4"/>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Boundary B: Germany EU AI Act</w:t>
      </w:r>
    </w:p>
    <w:p w14:paraId="7B5864F2" w14:textId="77777777" w:rsidR="00774C53" w:rsidRPr="00774C53" w:rsidRDefault="00774C53" w:rsidP="00774C53">
      <w:pPr>
        <w:numPr>
          <w:ilvl w:val="1"/>
          <w:numId w:val="4"/>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i/>
          <w:iCs/>
          <w:color w:val="000000"/>
          <w:kern w:val="0"/>
          <w:sz w:val="21"/>
          <w:szCs w:val="21"/>
          <w14:ligatures w14:val="none"/>
        </w:rPr>
        <w:lastRenderedPageBreak/>
        <w:t>Policy Packs:</w:t>
      </w:r>
      <w:r w:rsidRPr="00774C53">
        <w:rPr>
          <w:rFonts w:eastAsia="Times New Roman" w:cstheme="minorHAnsi"/>
          <w:color w:val="000000"/>
          <w:kern w:val="0"/>
          <w:sz w:val="21"/>
          <w:szCs w:val="21"/>
          <w14:ligatures w14:val="none"/>
        </w:rPr>
        <w:t> EU AI Act Article 14, GDPR, Works-Council-DE.</w:t>
      </w:r>
    </w:p>
    <w:p w14:paraId="09258DDB" w14:textId="77777777" w:rsidR="00774C53" w:rsidRPr="00774C53" w:rsidRDefault="00774C53" w:rsidP="00774C53">
      <w:pPr>
        <w:numPr>
          <w:ilvl w:val="1"/>
          <w:numId w:val="4"/>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i/>
          <w:iCs/>
          <w:color w:val="000000"/>
          <w:kern w:val="0"/>
          <w:sz w:val="21"/>
          <w:szCs w:val="21"/>
          <w14:ligatures w14:val="none"/>
        </w:rPr>
        <w:t>Signoff:</w:t>
      </w:r>
      <w:r w:rsidRPr="00774C53">
        <w:rPr>
          <w:rFonts w:eastAsia="Times New Roman" w:cstheme="minorHAnsi"/>
          <w:color w:val="000000"/>
          <w:kern w:val="0"/>
          <w:sz w:val="21"/>
          <w:szCs w:val="21"/>
          <w14:ligatures w14:val="none"/>
        </w:rPr>
        <w:t> Mandatory human signoff; required explainability.</w:t>
      </w:r>
    </w:p>
    <w:p w14:paraId="00BFBA4B" w14:textId="77777777" w:rsidR="00774C53" w:rsidRPr="00774C53" w:rsidRDefault="00774C53" w:rsidP="00774C53">
      <w:pPr>
        <w:numPr>
          <w:ilvl w:val="1"/>
          <w:numId w:val="4"/>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i/>
          <w:iCs/>
          <w:color w:val="000000"/>
          <w:kern w:val="0"/>
          <w:sz w:val="21"/>
          <w:szCs w:val="21"/>
          <w14:ligatures w14:val="none"/>
        </w:rPr>
        <w:t>Retention:</w:t>
      </w:r>
      <w:r w:rsidRPr="00774C53">
        <w:rPr>
          <w:rFonts w:eastAsia="Times New Roman" w:cstheme="minorHAnsi"/>
          <w:color w:val="000000"/>
          <w:kern w:val="0"/>
          <w:sz w:val="21"/>
          <w:szCs w:val="21"/>
          <w14:ligatures w14:val="none"/>
        </w:rPr>
        <w:t> 7-year audit trail for regulatory and labor review.</w:t>
      </w:r>
    </w:p>
    <w:p w14:paraId="565A7768" w14:textId="77777777" w:rsidR="00774C53" w:rsidRPr="00774C53" w:rsidRDefault="00774C53" w:rsidP="00774C53">
      <w:pPr>
        <w:numPr>
          <w:ilvl w:val="0"/>
          <w:numId w:val="4"/>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Boundary C: Singapore APAC</w:t>
      </w:r>
    </w:p>
    <w:p w14:paraId="67A3B868" w14:textId="77777777" w:rsidR="00774C53" w:rsidRPr="00774C53" w:rsidRDefault="00774C53" w:rsidP="00774C53">
      <w:pPr>
        <w:numPr>
          <w:ilvl w:val="1"/>
          <w:numId w:val="4"/>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i/>
          <w:iCs/>
          <w:color w:val="000000"/>
          <w:kern w:val="0"/>
          <w:sz w:val="21"/>
          <w:szCs w:val="21"/>
          <w14:ligatures w14:val="none"/>
        </w:rPr>
        <w:t>Policy Packs:</w:t>
      </w:r>
      <w:r w:rsidRPr="00774C53">
        <w:rPr>
          <w:rFonts w:eastAsia="Times New Roman" w:cstheme="minorHAnsi"/>
          <w:color w:val="000000"/>
          <w:kern w:val="0"/>
          <w:sz w:val="21"/>
          <w:szCs w:val="21"/>
          <w14:ligatures w14:val="none"/>
        </w:rPr>
        <w:t> MAS TRM, PDPA.</w:t>
      </w:r>
    </w:p>
    <w:p w14:paraId="0EE65B1B" w14:textId="77777777" w:rsidR="00774C53" w:rsidRPr="00774C53" w:rsidRDefault="00774C53" w:rsidP="00774C53">
      <w:pPr>
        <w:numPr>
          <w:ilvl w:val="1"/>
          <w:numId w:val="4"/>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i/>
          <w:iCs/>
          <w:color w:val="000000"/>
          <w:kern w:val="0"/>
          <w:sz w:val="21"/>
          <w:szCs w:val="21"/>
          <w14:ligatures w14:val="none"/>
        </w:rPr>
        <w:t>Residency:</w:t>
      </w:r>
      <w:r w:rsidRPr="00774C53">
        <w:rPr>
          <w:rFonts w:eastAsia="Times New Roman" w:cstheme="minorHAnsi"/>
          <w:color w:val="000000"/>
          <w:kern w:val="0"/>
          <w:sz w:val="21"/>
          <w:szCs w:val="21"/>
          <w14:ligatures w14:val="none"/>
        </w:rPr>
        <w:t> SG-strict localization.</w:t>
      </w:r>
    </w:p>
    <w:p w14:paraId="3641CECF" w14:textId="77777777" w:rsidR="00774C53" w:rsidRPr="00774C53" w:rsidRDefault="00774C53" w:rsidP="00774C53">
      <w:pPr>
        <w:numPr>
          <w:ilvl w:val="1"/>
          <w:numId w:val="4"/>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i/>
          <w:iCs/>
          <w:color w:val="000000"/>
          <w:kern w:val="0"/>
          <w:sz w:val="21"/>
          <w:szCs w:val="21"/>
          <w14:ligatures w14:val="none"/>
        </w:rPr>
        <w:t>Retention:</w:t>
      </w:r>
      <w:r w:rsidRPr="00774C53">
        <w:rPr>
          <w:rFonts w:eastAsia="Times New Roman" w:cstheme="minorHAnsi"/>
          <w:color w:val="000000"/>
          <w:kern w:val="0"/>
          <w:sz w:val="21"/>
          <w:szCs w:val="21"/>
          <w14:ligatures w14:val="none"/>
        </w:rPr>
        <w:t> 5-year retention policy.</w:t>
      </w:r>
    </w:p>
    <w:p w14:paraId="15A7B74A" w14:textId="77777777" w:rsidR="00774C53" w:rsidRPr="00774C53" w:rsidRDefault="00774C53" w:rsidP="00774C53">
      <w:pPr>
        <w:numPr>
          <w:ilvl w:val="1"/>
          <w:numId w:val="4"/>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i/>
          <w:iCs/>
          <w:color w:val="000000"/>
          <w:kern w:val="0"/>
          <w:sz w:val="21"/>
          <w:szCs w:val="21"/>
          <w14:ligatures w14:val="none"/>
        </w:rPr>
        <w:t>Signoff:</w:t>
      </w:r>
      <w:r w:rsidRPr="00774C53">
        <w:rPr>
          <w:rFonts w:eastAsia="Times New Roman" w:cstheme="minorHAnsi"/>
          <w:color w:val="000000"/>
          <w:kern w:val="0"/>
          <w:sz w:val="21"/>
          <w:szCs w:val="21"/>
          <w14:ligatures w14:val="none"/>
        </w:rPr>
        <w:t> Tier-based human signoff; cross-border transfer prohibited.</w:t>
      </w:r>
    </w:p>
    <w:p w14:paraId="5E2F4E6C" w14:textId="77777777" w:rsidR="00774C53" w:rsidRPr="00774C53" w:rsidRDefault="00774C53" w:rsidP="00774C53">
      <w:pPr>
        <w:numPr>
          <w:ilvl w:val="0"/>
          <w:numId w:val="4"/>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Boundary D: Innovation Sandbox</w:t>
      </w:r>
    </w:p>
    <w:p w14:paraId="57E07C72" w14:textId="77777777" w:rsidR="00774C53" w:rsidRPr="00774C53" w:rsidRDefault="00774C53" w:rsidP="00774C53">
      <w:pPr>
        <w:numPr>
          <w:ilvl w:val="1"/>
          <w:numId w:val="4"/>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i/>
          <w:iCs/>
          <w:color w:val="000000"/>
          <w:kern w:val="0"/>
          <w:sz w:val="21"/>
          <w:szCs w:val="21"/>
          <w14:ligatures w14:val="none"/>
        </w:rPr>
        <w:t>Trust Tier:</w:t>
      </w:r>
      <w:r w:rsidRPr="00774C53">
        <w:rPr>
          <w:rFonts w:eastAsia="Times New Roman" w:cstheme="minorHAnsi"/>
          <w:color w:val="000000"/>
          <w:kern w:val="0"/>
          <w:sz w:val="21"/>
          <w:szCs w:val="21"/>
          <w14:ligatures w14:val="none"/>
        </w:rPr>
        <w:t> Low.</w:t>
      </w:r>
    </w:p>
    <w:p w14:paraId="5A12FAE1" w14:textId="77777777" w:rsidR="00774C53" w:rsidRPr="00774C53" w:rsidRDefault="00774C53" w:rsidP="00774C53">
      <w:pPr>
        <w:numPr>
          <w:ilvl w:val="1"/>
          <w:numId w:val="4"/>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i/>
          <w:iCs/>
          <w:color w:val="000000"/>
          <w:kern w:val="0"/>
          <w:sz w:val="21"/>
          <w:szCs w:val="21"/>
          <w14:ligatures w14:val="none"/>
        </w:rPr>
        <w:t>Excluded Skills:</w:t>
      </w:r>
      <w:r w:rsidRPr="00774C53">
        <w:rPr>
          <w:rFonts w:eastAsia="Times New Roman" w:cstheme="minorHAnsi"/>
          <w:color w:val="000000"/>
          <w:kern w:val="0"/>
          <w:sz w:val="21"/>
          <w:szCs w:val="21"/>
          <w14:ligatures w14:val="none"/>
        </w:rPr>
        <w:t xml:space="preserve"> Prohibits access to </w:t>
      </w:r>
      <w:proofErr w:type="spellStart"/>
      <w:r w:rsidRPr="00774C53">
        <w:rPr>
          <w:rFonts w:eastAsia="Times New Roman" w:cstheme="minorHAnsi"/>
          <w:color w:val="000000"/>
          <w:kern w:val="0"/>
          <w:sz w:val="21"/>
          <w:szCs w:val="21"/>
          <w14:ligatures w14:val="none"/>
        </w:rPr>
        <w:t>customer_data</w:t>
      </w:r>
      <w:proofErr w:type="spellEnd"/>
      <w:r w:rsidRPr="00774C53">
        <w:rPr>
          <w:rFonts w:eastAsia="Times New Roman" w:cstheme="minorHAnsi"/>
          <w:color w:val="000000"/>
          <w:kern w:val="0"/>
          <w:sz w:val="21"/>
          <w:szCs w:val="21"/>
          <w14:ligatures w14:val="none"/>
        </w:rPr>
        <w:t xml:space="preserve"> or compliance skills.</w:t>
      </w:r>
    </w:p>
    <w:p w14:paraId="252F5EEF" w14:textId="77777777" w:rsidR="00774C53" w:rsidRPr="00774C53" w:rsidRDefault="00774C53" w:rsidP="00774C53">
      <w:pPr>
        <w:numPr>
          <w:ilvl w:val="1"/>
          <w:numId w:val="4"/>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i/>
          <w:iCs/>
          <w:color w:val="000000"/>
          <w:kern w:val="0"/>
          <w:sz w:val="21"/>
          <w:szCs w:val="21"/>
          <w14:ligatures w14:val="none"/>
        </w:rPr>
        <w:t>Retention:</w:t>
      </w:r>
      <w:r w:rsidRPr="00774C53">
        <w:rPr>
          <w:rFonts w:eastAsia="Times New Roman" w:cstheme="minorHAnsi"/>
          <w:color w:val="000000"/>
          <w:kern w:val="0"/>
          <w:sz w:val="21"/>
          <w:szCs w:val="21"/>
          <w14:ligatures w14:val="none"/>
        </w:rPr>
        <w:t> 90 days only.</w:t>
      </w:r>
    </w:p>
    <w:p w14:paraId="2559BE75"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Runtime vendors cannot build these controls because they lack the neutral view of execution outcomes across their competitors. Only a neutral authority can uniformly enforce policy packs across the entire AI estate.</w:t>
      </w:r>
    </w:p>
    <w:p w14:paraId="7EEC5ADA" w14:textId="77777777" w:rsidR="00774C53" w:rsidRPr="00774C53" w:rsidRDefault="00774C53" w:rsidP="00774C53">
      <w:pPr>
        <w:spacing w:before="100" w:beforeAutospacing="1" w:after="100" w:afterAutospacing="1" w:line="240" w:lineRule="auto"/>
        <w:outlineLvl w:val="1"/>
        <w:rPr>
          <w:rFonts w:eastAsia="Times New Roman" w:cstheme="minorHAnsi"/>
          <w:b/>
          <w:bCs/>
          <w:color w:val="000000"/>
          <w:kern w:val="0"/>
          <w:sz w:val="28"/>
          <w:szCs w:val="28"/>
          <w14:ligatures w14:val="none"/>
        </w:rPr>
      </w:pPr>
      <w:r w:rsidRPr="00774C53">
        <w:rPr>
          <w:rFonts w:eastAsia="Times New Roman" w:cstheme="minorHAnsi"/>
          <w:b/>
          <w:bCs/>
          <w:color w:val="000000"/>
          <w:kern w:val="0"/>
          <w:sz w:val="28"/>
          <w:szCs w:val="28"/>
          <w14:ligatures w14:val="none"/>
        </w:rPr>
        <w:t>4. Policy Pack Enforcement: Navigating the EU AI Act and GDPR</w:t>
      </w:r>
    </w:p>
    <w:p w14:paraId="4C6660EB"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Policy packs (Layer 2 and Layer 12) transform legal abstractions into runtime constraints. When a task enters the system, the </w:t>
      </w:r>
      <w:r w:rsidRPr="00774C53">
        <w:rPr>
          <w:rFonts w:eastAsia="Times New Roman" w:cstheme="minorHAnsi"/>
          <w:b/>
          <w:bCs/>
          <w:color w:val="000000"/>
          <w:kern w:val="0"/>
          <w:sz w:val="21"/>
          <w:szCs w:val="21"/>
          <w14:ligatures w14:val="none"/>
        </w:rPr>
        <w:t>Governance Service</w:t>
      </w:r>
      <w:r w:rsidRPr="00774C53">
        <w:rPr>
          <w:rFonts w:eastAsia="Times New Roman" w:cstheme="minorHAnsi"/>
          <w:color w:val="000000"/>
          <w:kern w:val="0"/>
          <w:sz w:val="21"/>
          <w:szCs w:val="21"/>
          <w14:ligatures w14:val="none"/>
        </w:rPr>
        <w:t> evaluates it against applicable packs to assemble a "</w:t>
      </w:r>
      <w:proofErr w:type="spellStart"/>
      <w:r w:rsidRPr="00774C53">
        <w:rPr>
          <w:rFonts w:eastAsia="Times New Roman" w:cstheme="minorHAnsi"/>
          <w:color w:val="000000"/>
          <w:kern w:val="0"/>
          <w:sz w:val="21"/>
          <w:szCs w:val="21"/>
          <w14:ligatures w14:val="none"/>
        </w:rPr>
        <w:t>GovernanceRequirement</w:t>
      </w:r>
      <w:proofErr w:type="spellEnd"/>
      <w:r w:rsidRPr="00774C53">
        <w:rPr>
          <w:rFonts w:eastAsia="Times New Roman" w:cstheme="minorHAnsi"/>
          <w:color w:val="000000"/>
          <w:kern w:val="0"/>
          <w:sz w:val="21"/>
          <w:szCs w:val="21"/>
          <w14:ligatures w14:val="none"/>
        </w:rPr>
        <w:t>." This requirement dictates the necessary audit depth, residency requirements, and signoff triggers before task dispatch.</w:t>
      </w:r>
    </w:p>
    <w:p w14:paraId="0EA0FDA7"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For compliance with the </w:t>
      </w:r>
      <w:r w:rsidRPr="00774C53">
        <w:rPr>
          <w:rFonts w:eastAsia="Times New Roman" w:cstheme="minorHAnsi"/>
          <w:b/>
          <w:bCs/>
          <w:color w:val="000000"/>
          <w:kern w:val="0"/>
          <w:sz w:val="21"/>
          <w:szCs w:val="21"/>
          <w14:ligatures w14:val="none"/>
        </w:rPr>
        <w:t>EU AI Act (Article 14)</w:t>
      </w:r>
      <w:r w:rsidRPr="00774C53">
        <w:rPr>
          <w:rFonts w:eastAsia="Times New Roman" w:cstheme="minorHAnsi"/>
          <w:color w:val="000000"/>
          <w:kern w:val="0"/>
          <w:sz w:val="21"/>
          <w:szCs w:val="21"/>
          <w14:ligatures w14:val="none"/>
        </w:rPr>
        <w:t> and </w:t>
      </w:r>
      <w:r w:rsidRPr="00774C53">
        <w:rPr>
          <w:rFonts w:eastAsia="Times New Roman" w:cstheme="minorHAnsi"/>
          <w:b/>
          <w:bCs/>
          <w:color w:val="000000"/>
          <w:kern w:val="0"/>
          <w:sz w:val="21"/>
          <w:szCs w:val="21"/>
          <w14:ligatures w14:val="none"/>
        </w:rPr>
        <w:t>GDPR</w:t>
      </w:r>
      <w:r w:rsidRPr="00774C53">
        <w:rPr>
          <w:rFonts w:eastAsia="Times New Roman" w:cstheme="minorHAnsi"/>
          <w:color w:val="000000"/>
          <w:kern w:val="0"/>
          <w:sz w:val="21"/>
          <w:szCs w:val="21"/>
          <w14:ligatures w14:val="none"/>
        </w:rPr>
        <w:t>, the system generates cryptographically signed evidence bundles using </w:t>
      </w:r>
      <w:r w:rsidRPr="00774C53">
        <w:rPr>
          <w:rFonts w:eastAsia="Times New Roman" w:cstheme="minorHAnsi"/>
          <w:b/>
          <w:bCs/>
          <w:color w:val="000000"/>
          <w:kern w:val="0"/>
          <w:sz w:val="21"/>
          <w:szCs w:val="21"/>
          <w14:ligatures w14:val="none"/>
        </w:rPr>
        <w:t>Ed25519 signatures</w:t>
      </w:r>
      <w:r w:rsidRPr="00774C53">
        <w:rPr>
          <w:rFonts w:eastAsia="Times New Roman" w:cstheme="minorHAnsi"/>
          <w:color w:val="000000"/>
          <w:kern w:val="0"/>
          <w:sz w:val="21"/>
          <w:szCs w:val="21"/>
          <w14:ligatures w14:val="none"/>
        </w:rPr>
        <w:t>. These bundles are formatted specifically per jurisdiction and policy pack to satisfy the rigorous audit requirements of regulators and </w:t>
      </w:r>
      <w:r w:rsidRPr="00774C53">
        <w:rPr>
          <w:rFonts w:eastAsia="Times New Roman" w:cstheme="minorHAnsi"/>
          <w:b/>
          <w:bCs/>
          <w:color w:val="000000"/>
          <w:kern w:val="0"/>
          <w:sz w:val="21"/>
          <w:szCs w:val="21"/>
          <w14:ligatures w14:val="none"/>
        </w:rPr>
        <w:t>Works Councils</w:t>
      </w:r>
      <w:r w:rsidRPr="00774C53">
        <w:rPr>
          <w:rFonts w:eastAsia="Times New Roman" w:cstheme="minorHAnsi"/>
          <w:color w:val="000000"/>
          <w:kern w:val="0"/>
          <w:sz w:val="21"/>
          <w:szCs w:val="21"/>
          <w14:ligatures w14:val="none"/>
        </w:rPr>
        <w:t>, particularly in the German context.</w:t>
      </w:r>
    </w:p>
    <w:p w14:paraId="512FA0D2"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Enforce "Proactive Compliance" via the </w:t>
      </w:r>
      <w:r w:rsidRPr="00774C53">
        <w:rPr>
          <w:rFonts w:eastAsia="Times New Roman" w:cstheme="minorHAnsi"/>
          <w:b/>
          <w:bCs/>
          <w:color w:val="000000"/>
          <w:kern w:val="0"/>
          <w:sz w:val="21"/>
          <w:szCs w:val="21"/>
          <w14:ligatures w14:val="none"/>
        </w:rPr>
        <w:t>Dynamic Instruction Runtime (Layer 9)</w:t>
      </w:r>
      <w:r w:rsidRPr="00774C53">
        <w:rPr>
          <w:rFonts w:eastAsia="Times New Roman" w:cstheme="minorHAnsi"/>
          <w:color w:val="000000"/>
          <w:kern w:val="0"/>
          <w:sz w:val="21"/>
          <w:szCs w:val="21"/>
          <w14:ligatures w14:val="none"/>
        </w:rPr>
        <w:t>. Rather than relying on static rules, this layer injects real-time policy updates into in-flight executions based on signal changes (such as a works-council notification trigger). This is achieved by </w:t>
      </w:r>
      <w:r w:rsidRPr="00774C53">
        <w:rPr>
          <w:rFonts w:eastAsia="Times New Roman" w:cstheme="minorHAnsi"/>
          <w:b/>
          <w:bCs/>
          <w:color w:val="000000"/>
          <w:kern w:val="0"/>
          <w:sz w:val="21"/>
          <w:szCs w:val="21"/>
          <w14:ligatures w14:val="none"/>
        </w:rPr>
        <w:t>injecting modified function schemas</w:t>
      </w:r>
      <w:r w:rsidRPr="00774C53">
        <w:rPr>
          <w:rFonts w:eastAsia="Times New Roman" w:cstheme="minorHAnsi"/>
          <w:color w:val="000000"/>
          <w:kern w:val="0"/>
          <w:sz w:val="21"/>
          <w:szCs w:val="21"/>
          <w14:ligatures w14:val="none"/>
        </w:rPr>
        <w:t> for OpenAI or </w:t>
      </w:r>
      <w:r w:rsidRPr="00774C53">
        <w:rPr>
          <w:rFonts w:eastAsia="Times New Roman" w:cstheme="minorHAnsi"/>
          <w:b/>
          <w:bCs/>
          <w:color w:val="000000"/>
          <w:kern w:val="0"/>
          <w:sz w:val="21"/>
          <w:szCs w:val="21"/>
          <w14:ligatures w14:val="none"/>
        </w:rPr>
        <w:t xml:space="preserve">revised system </w:t>
      </w:r>
      <w:proofErr w:type="spellStart"/>
      <w:r w:rsidRPr="00774C53">
        <w:rPr>
          <w:rFonts w:eastAsia="Times New Roman" w:cstheme="minorHAnsi"/>
          <w:b/>
          <w:bCs/>
          <w:color w:val="000000"/>
          <w:kern w:val="0"/>
          <w:sz w:val="21"/>
          <w:szCs w:val="21"/>
          <w14:ligatures w14:val="none"/>
        </w:rPr>
        <w:t>prompts</w:t>
      </w:r>
      <w:r w:rsidRPr="00774C53">
        <w:rPr>
          <w:rFonts w:eastAsia="Times New Roman" w:cstheme="minorHAnsi"/>
          <w:color w:val="000000"/>
          <w:kern w:val="0"/>
          <w:sz w:val="21"/>
          <w:szCs w:val="21"/>
          <w14:ligatures w14:val="none"/>
        </w:rPr>
        <w:t>for</w:t>
      </w:r>
      <w:proofErr w:type="spellEnd"/>
      <w:r w:rsidRPr="00774C53">
        <w:rPr>
          <w:rFonts w:eastAsia="Times New Roman" w:cstheme="minorHAnsi"/>
          <w:color w:val="000000"/>
          <w:kern w:val="0"/>
          <w:sz w:val="21"/>
          <w:szCs w:val="21"/>
          <w14:ligatures w14:val="none"/>
        </w:rPr>
        <w:t xml:space="preserve"> Anthropic mid-execution, maintaining compliance without workflow termination. This logic is grounded in the live state of the workforce.</w:t>
      </w:r>
    </w:p>
    <w:p w14:paraId="2B397820" w14:textId="77777777" w:rsidR="00774C53" w:rsidRPr="00774C53" w:rsidRDefault="00774C53" w:rsidP="00774C53">
      <w:pPr>
        <w:spacing w:before="100" w:beforeAutospacing="1" w:after="100" w:afterAutospacing="1" w:line="240" w:lineRule="auto"/>
        <w:outlineLvl w:val="1"/>
        <w:rPr>
          <w:rFonts w:eastAsia="Times New Roman" w:cstheme="minorHAnsi"/>
          <w:b/>
          <w:bCs/>
          <w:color w:val="000000"/>
          <w:kern w:val="0"/>
          <w:sz w:val="28"/>
          <w:szCs w:val="28"/>
          <w14:ligatures w14:val="none"/>
        </w:rPr>
      </w:pPr>
      <w:r w:rsidRPr="00774C53">
        <w:rPr>
          <w:rFonts w:eastAsia="Times New Roman" w:cstheme="minorHAnsi"/>
          <w:b/>
          <w:bCs/>
          <w:color w:val="000000"/>
          <w:kern w:val="0"/>
          <w:sz w:val="28"/>
          <w:szCs w:val="28"/>
          <w14:ligatures w14:val="none"/>
        </w:rPr>
        <w:t>5. The Decision Logic: GSTI, Coordination Tax, and Workforce Signal Integration</w:t>
      </w:r>
    </w:p>
    <w:p w14:paraId="56C22350"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Governance is not just legal compliance; it is workforce preservation. Strategic routing decisions are made by the </w:t>
      </w:r>
      <w:r w:rsidRPr="00774C53">
        <w:rPr>
          <w:rFonts w:eastAsia="Times New Roman" w:cstheme="minorHAnsi"/>
          <w:b/>
          <w:bCs/>
          <w:color w:val="000000"/>
          <w:kern w:val="0"/>
          <w:sz w:val="21"/>
          <w:szCs w:val="21"/>
          <w14:ligatures w14:val="none"/>
        </w:rPr>
        <w:t>Universal Execution Function (UEF)</w:t>
      </w:r>
      <w:r w:rsidRPr="00774C53">
        <w:rPr>
          <w:rFonts w:eastAsia="Times New Roman" w:cstheme="minorHAnsi"/>
          <w:color w:val="000000"/>
          <w:kern w:val="0"/>
          <w:sz w:val="21"/>
          <w:szCs w:val="21"/>
          <w14:ligatures w14:val="none"/>
        </w:rPr>
        <w:t> using a multi-dimensional scoring function grounded in live workforce signals.</w:t>
      </w:r>
    </w:p>
    <w:p w14:paraId="70D19D09"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The </w:t>
      </w:r>
      <w:r w:rsidRPr="00774C53">
        <w:rPr>
          <w:rFonts w:eastAsia="Times New Roman" w:cstheme="minorHAnsi"/>
          <w:b/>
          <w:bCs/>
          <w:color w:val="000000"/>
          <w:kern w:val="0"/>
          <w:sz w:val="21"/>
          <w:szCs w:val="21"/>
          <w14:ligatures w14:val="none"/>
        </w:rPr>
        <w:t>GenAI Suitability Transformation Index (GSTI)</w:t>
      </w:r>
      <w:r w:rsidRPr="00774C53">
        <w:rPr>
          <w:rFonts w:eastAsia="Times New Roman" w:cstheme="minorHAnsi"/>
          <w:color w:val="000000"/>
          <w:kern w:val="0"/>
          <w:sz w:val="21"/>
          <w:szCs w:val="21"/>
          <w14:ligatures w14:val="none"/>
        </w:rPr>
        <w:t xml:space="preserve"> determines AI's participation role using five orthogonal dimensions: </w:t>
      </w:r>
      <w:proofErr w:type="gramStart"/>
      <w:r w:rsidRPr="00774C53">
        <w:rPr>
          <w:rFonts w:eastAsia="Times New Roman" w:cstheme="minorHAnsi"/>
          <w:color w:val="000000"/>
          <w:kern w:val="0"/>
          <w:sz w:val="21"/>
          <w:szCs w:val="21"/>
          <w14:ligatures w14:val="none"/>
        </w:rPr>
        <w:t>GSTI(</w:t>
      </w:r>
      <w:proofErr w:type="gramEnd"/>
      <w:r w:rsidRPr="00774C53">
        <w:rPr>
          <w:rFonts w:eastAsia="Times New Roman" w:cstheme="minorHAnsi"/>
          <w:color w:val="000000"/>
          <w:kern w:val="0"/>
          <w:sz w:val="21"/>
          <w:szCs w:val="21"/>
          <w14:ligatures w14:val="none"/>
        </w:rPr>
        <w:t>task) = w₁</w:t>
      </w:r>
      <w:proofErr w:type="gramStart"/>
      <w:r w:rsidRPr="00774C53">
        <w:rPr>
          <w:rFonts w:eastAsia="Times New Roman" w:cstheme="minorHAnsi"/>
          <w:color w:val="000000"/>
          <w:kern w:val="0"/>
          <w:sz w:val="21"/>
          <w:szCs w:val="21"/>
          <w14:ligatures w14:val="none"/>
        </w:rPr>
        <w:t>·(</w:t>
      </w:r>
      <w:proofErr w:type="gramEnd"/>
      <w:r w:rsidRPr="00774C53">
        <w:rPr>
          <w:rFonts w:eastAsia="Times New Roman" w:cstheme="minorHAnsi"/>
          <w:color w:val="000000"/>
          <w:kern w:val="0"/>
          <w:sz w:val="21"/>
          <w:szCs w:val="21"/>
          <w14:ligatures w14:val="none"/>
        </w:rPr>
        <w:t>1 − J) + w₂</w:t>
      </w:r>
      <w:proofErr w:type="gramStart"/>
      <w:r w:rsidRPr="00774C53">
        <w:rPr>
          <w:rFonts w:eastAsia="Times New Roman" w:cstheme="minorHAnsi"/>
          <w:color w:val="000000"/>
          <w:kern w:val="0"/>
          <w:sz w:val="21"/>
          <w:szCs w:val="21"/>
          <w14:ligatures w14:val="none"/>
        </w:rPr>
        <w:t>·(</w:t>
      </w:r>
      <w:proofErr w:type="gramEnd"/>
      <w:r w:rsidRPr="00774C53">
        <w:rPr>
          <w:rFonts w:eastAsia="Times New Roman" w:cstheme="minorHAnsi"/>
          <w:color w:val="000000"/>
          <w:kern w:val="0"/>
          <w:sz w:val="21"/>
          <w:szCs w:val="21"/>
          <w14:ligatures w14:val="none"/>
        </w:rPr>
        <w:t>1 − V) + w₃·F + w₄·D − w₅·R</w:t>
      </w:r>
    </w:p>
    <w:tbl>
      <w:tblPr>
        <w:tblW w:w="1176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14"/>
        <w:gridCol w:w="4749"/>
        <w:gridCol w:w="4697"/>
      </w:tblGrid>
      <w:tr w:rsidR="00774C53" w:rsidRPr="00774C53" w14:paraId="1ECB09D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4824E78"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Dimension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609102A"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Definition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4BDC213"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Impact on Operational Routing</w:t>
            </w:r>
          </w:p>
        </w:tc>
      </w:tr>
      <w:tr w:rsidR="00774C53" w:rsidRPr="00774C53" w14:paraId="392F1DB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44C2F5"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Judgment (J)</w:t>
            </w:r>
          </w:p>
        </w:tc>
        <w:tc>
          <w:tcPr>
            <w:tcW w:w="0" w:type="auto"/>
            <w:tcBorders>
              <w:top w:val="outset" w:sz="6" w:space="0" w:color="auto"/>
              <w:left w:val="outset" w:sz="6" w:space="0" w:color="auto"/>
              <w:bottom w:val="outset" w:sz="6" w:space="0" w:color="auto"/>
              <w:right w:val="outset" w:sz="6" w:space="0" w:color="auto"/>
            </w:tcBorders>
            <w:vAlign w:val="center"/>
            <w:hideMark/>
          </w:tcPr>
          <w:p w14:paraId="5EF83301"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Ethical reasoning, empathy, context.</w:t>
            </w:r>
          </w:p>
        </w:tc>
        <w:tc>
          <w:tcPr>
            <w:tcW w:w="0" w:type="auto"/>
            <w:tcBorders>
              <w:top w:val="outset" w:sz="6" w:space="0" w:color="auto"/>
              <w:left w:val="outset" w:sz="6" w:space="0" w:color="auto"/>
              <w:bottom w:val="outset" w:sz="6" w:space="0" w:color="auto"/>
              <w:right w:val="outset" w:sz="6" w:space="0" w:color="auto"/>
            </w:tcBorders>
            <w:vAlign w:val="center"/>
            <w:hideMark/>
          </w:tcPr>
          <w:p w14:paraId="72C98CE5"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&lt;0.3:</w:t>
            </w:r>
            <w:r w:rsidRPr="00774C53">
              <w:rPr>
                <w:rFonts w:eastAsia="Times New Roman" w:cstheme="minorHAnsi"/>
                <w:color w:val="000000"/>
                <w:kern w:val="0"/>
                <w:sz w:val="21"/>
                <w:szCs w:val="21"/>
                <w14:ligatures w14:val="none"/>
              </w:rPr>
              <w:t> Human-Only routing.</w:t>
            </w:r>
          </w:p>
        </w:tc>
      </w:tr>
      <w:tr w:rsidR="00774C53" w:rsidRPr="00774C53" w14:paraId="38EC2D0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948864"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Variability (V)</w:t>
            </w:r>
          </w:p>
        </w:tc>
        <w:tc>
          <w:tcPr>
            <w:tcW w:w="0" w:type="auto"/>
            <w:tcBorders>
              <w:top w:val="outset" w:sz="6" w:space="0" w:color="auto"/>
              <w:left w:val="outset" w:sz="6" w:space="0" w:color="auto"/>
              <w:bottom w:val="outset" w:sz="6" w:space="0" w:color="auto"/>
              <w:right w:val="outset" w:sz="6" w:space="0" w:color="auto"/>
            </w:tcBorders>
            <w:vAlign w:val="center"/>
            <w:hideMark/>
          </w:tcPr>
          <w:p w14:paraId="60414F06"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Input, process, and temporal variability.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44818C32"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0.3–0.5:</w:t>
            </w:r>
            <w:r w:rsidRPr="00774C53">
              <w:rPr>
                <w:rFonts w:eastAsia="Times New Roman" w:cstheme="minorHAnsi"/>
                <w:color w:val="000000"/>
                <w:kern w:val="0"/>
                <w:sz w:val="21"/>
                <w:szCs w:val="21"/>
                <w14:ligatures w14:val="none"/>
              </w:rPr>
              <w:t> AI-Assisted (Human decides).</w:t>
            </w:r>
          </w:p>
        </w:tc>
      </w:tr>
      <w:tr w:rsidR="00774C53" w:rsidRPr="00774C53" w14:paraId="5248ED3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7888810"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Frequency (F)</w:t>
            </w:r>
          </w:p>
        </w:tc>
        <w:tc>
          <w:tcPr>
            <w:tcW w:w="0" w:type="auto"/>
            <w:tcBorders>
              <w:top w:val="outset" w:sz="6" w:space="0" w:color="auto"/>
              <w:left w:val="outset" w:sz="6" w:space="0" w:color="auto"/>
              <w:bottom w:val="outset" w:sz="6" w:space="0" w:color="auto"/>
              <w:right w:val="outset" w:sz="6" w:space="0" w:color="auto"/>
            </w:tcBorders>
            <w:vAlign w:val="center"/>
            <w:hideMark/>
          </w:tcPr>
          <w:p w14:paraId="2BD8A6D4"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How often the task occurs.</w:t>
            </w:r>
          </w:p>
        </w:tc>
        <w:tc>
          <w:tcPr>
            <w:tcW w:w="0" w:type="auto"/>
            <w:tcBorders>
              <w:top w:val="outset" w:sz="6" w:space="0" w:color="auto"/>
              <w:left w:val="outset" w:sz="6" w:space="0" w:color="auto"/>
              <w:bottom w:val="outset" w:sz="6" w:space="0" w:color="auto"/>
              <w:right w:val="outset" w:sz="6" w:space="0" w:color="auto"/>
            </w:tcBorders>
            <w:vAlign w:val="center"/>
            <w:hideMark/>
          </w:tcPr>
          <w:p w14:paraId="3184E4C3"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0.5–0.7:</w:t>
            </w:r>
            <w:r w:rsidRPr="00774C53">
              <w:rPr>
                <w:rFonts w:eastAsia="Times New Roman" w:cstheme="minorHAnsi"/>
                <w:color w:val="000000"/>
                <w:kern w:val="0"/>
                <w:sz w:val="21"/>
                <w:szCs w:val="21"/>
                <w14:ligatures w14:val="none"/>
              </w:rPr>
              <w:t> Human-AI Hybrid (Orchestrated).</w:t>
            </w:r>
          </w:p>
        </w:tc>
      </w:tr>
      <w:tr w:rsidR="00774C53" w:rsidRPr="00774C53" w14:paraId="6011D5D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C087A1"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lastRenderedPageBreak/>
              <w:t>Data Availability (D)</w:t>
            </w:r>
          </w:p>
        </w:tc>
        <w:tc>
          <w:tcPr>
            <w:tcW w:w="0" w:type="auto"/>
            <w:tcBorders>
              <w:top w:val="outset" w:sz="6" w:space="0" w:color="auto"/>
              <w:left w:val="outset" w:sz="6" w:space="0" w:color="auto"/>
              <w:bottom w:val="outset" w:sz="6" w:space="0" w:color="auto"/>
              <w:right w:val="outset" w:sz="6" w:space="0" w:color="auto"/>
            </w:tcBorders>
            <w:vAlign w:val="center"/>
            <w:hideMark/>
          </w:tcPr>
          <w:p w14:paraId="3F201DFB"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Access to integrated, usable data.</w:t>
            </w:r>
          </w:p>
        </w:tc>
        <w:tc>
          <w:tcPr>
            <w:tcW w:w="0" w:type="auto"/>
            <w:tcBorders>
              <w:top w:val="outset" w:sz="6" w:space="0" w:color="auto"/>
              <w:left w:val="outset" w:sz="6" w:space="0" w:color="auto"/>
              <w:bottom w:val="outset" w:sz="6" w:space="0" w:color="auto"/>
              <w:right w:val="outset" w:sz="6" w:space="0" w:color="auto"/>
            </w:tcBorders>
            <w:vAlign w:val="center"/>
            <w:hideMark/>
          </w:tcPr>
          <w:p w14:paraId="4E2AEEA4"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&gt;0.7:</w:t>
            </w:r>
            <w:r w:rsidRPr="00774C53">
              <w:rPr>
                <w:rFonts w:eastAsia="Times New Roman" w:cstheme="minorHAnsi"/>
                <w:color w:val="000000"/>
                <w:kern w:val="0"/>
                <w:sz w:val="21"/>
                <w:szCs w:val="21"/>
                <w14:ligatures w14:val="none"/>
              </w:rPr>
              <w:t> AI-Primary (Agent autonomous).</w:t>
            </w:r>
          </w:p>
        </w:tc>
      </w:tr>
      <w:tr w:rsidR="00774C53" w:rsidRPr="00774C53" w14:paraId="3C96C04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74608F4"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Risk (R)</w:t>
            </w:r>
          </w:p>
        </w:tc>
        <w:tc>
          <w:tcPr>
            <w:tcW w:w="0" w:type="auto"/>
            <w:tcBorders>
              <w:top w:val="outset" w:sz="6" w:space="0" w:color="auto"/>
              <w:left w:val="outset" w:sz="6" w:space="0" w:color="auto"/>
              <w:bottom w:val="outset" w:sz="6" w:space="0" w:color="auto"/>
              <w:right w:val="outset" w:sz="6" w:space="0" w:color="auto"/>
            </w:tcBorders>
            <w:vAlign w:val="center"/>
            <w:hideMark/>
          </w:tcPr>
          <w:p w14:paraId="44D23CAD"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Regulatory, safety, and financial exposure.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506E8FFD"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i/>
                <w:iCs/>
                <w:color w:val="000000"/>
                <w:kern w:val="0"/>
                <w:sz w:val="21"/>
                <w:szCs w:val="21"/>
                <w14:ligatures w14:val="none"/>
              </w:rPr>
              <w:t>(Weights calibrated by industry)</w:t>
            </w:r>
          </w:p>
        </w:tc>
      </w:tr>
    </w:tbl>
    <w:p w14:paraId="7E5AC4FE"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The </w:t>
      </w:r>
      <w:r w:rsidRPr="00774C53">
        <w:rPr>
          <w:rFonts w:eastAsia="Times New Roman" w:cstheme="minorHAnsi"/>
          <w:b/>
          <w:bCs/>
          <w:color w:val="000000"/>
          <w:kern w:val="0"/>
          <w:sz w:val="21"/>
          <w:szCs w:val="21"/>
          <w14:ligatures w14:val="none"/>
        </w:rPr>
        <w:t>Coordination Tax Algorithm</w:t>
      </w:r>
      <w:r w:rsidRPr="00774C53">
        <w:rPr>
          <w:rFonts w:eastAsia="Times New Roman" w:cstheme="minorHAnsi"/>
          <w:color w:val="000000"/>
          <w:kern w:val="0"/>
          <w:sz w:val="21"/>
          <w:szCs w:val="21"/>
          <w14:ligatures w14:val="none"/>
        </w:rPr>
        <w:t> quantifies organizational friction by detecting "handoffs" in process event streams (Case ID, Activity, etc.). It derives a </w:t>
      </w:r>
      <w:r w:rsidRPr="00774C53">
        <w:rPr>
          <w:rFonts w:eastAsia="Times New Roman" w:cstheme="minorHAnsi"/>
          <w:b/>
          <w:bCs/>
          <w:color w:val="000000"/>
          <w:kern w:val="0"/>
          <w:sz w:val="21"/>
          <w:szCs w:val="21"/>
          <w14:ligatures w14:val="none"/>
        </w:rPr>
        <w:t>monthly dollar figure</w:t>
      </w:r>
      <w:r w:rsidRPr="00774C53">
        <w:rPr>
          <w:rFonts w:eastAsia="Times New Roman" w:cstheme="minorHAnsi"/>
          <w:color w:val="000000"/>
          <w:kern w:val="0"/>
          <w:sz w:val="21"/>
          <w:szCs w:val="21"/>
          <w14:ligatures w14:val="none"/>
        </w:rPr>
        <w:t> of friction that acts as a subtracted constraint in the UEF scoring.</w:t>
      </w:r>
    </w:p>
    <w:p w14:paraId="7B4451BC"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The UEF selects the optimal path using an 8-dimensional checklist:</w:t>
      </w:r>
    </w:p>
    <w:p w14:paraId="0700971B" w14:textId="77777777" w:rsidR="00774C53" w:rsidRPr="00774C53" w:rsidRDefault="00774C53" w:rsidP="00774C53">
      <w:pPr>
        <w:numPr>
          <w:ilvl w:val="0"/>
          <w:numId w:val="5"/>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Capability Fit:</w:t>
      </w:r>
      <w:r w:rsidRPr="00774C53">
        <w:rPr>
          <w:rFonts w:eastAsia="Times New Roman" w:cstheme="minorHAnsi"/>
          <w:color w:val="000000"/>
          <w:kern w:val="0"/>
          <w:sz w:val="21"/>
          <w:szCs w:val="21"/>
          <w14:ligatures w14:val="none"/>
        </w:rPr>
        <w:t> Historical success rate for the specific skill.</w:t>
      </w:r>
    </w:p>
    <w:p w14:paraId="3CB19963" w14:textId="77777777" w:rsidR="00774C53" w:rsidRPr="00774C53" w:rsidRDefault="00774C53" w:rsidP="00774C53">
      <w:pPr>
        <w:numPr>
          <w:ilvl w:val="0"/>
          <w:numId w:val="5"/>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GSTI Value:</w:t>
      </w:r>
      <w:r w:rsidRPr="00774C53">
        <w:rPr>
          <w:rFonts w:eastAsia="Times New Roman" w:cstheme="minorHAnsi"/>
          <w:color w:val="000000"/>
          <w:kern w:val="0"/>
          <w:sz w:val="21"/>
          <w:szCs w:val="21"/>
          <w14:ligatures w14:val="none"/>
        </w:rPr>
        <w:t> Impact on strategic capability preservation.</w:t>
      </w:r>
    </w:p>
    <w:p w14:paraId="045635BF" w14:textId="77777777" w:rsidR="00774C53" w:rsidRPr="00774C53" w:rsidRDefault="00774C53" w:rsidP="00774C53">
      <w:pPr>
        <w:numPr>
          <w:ilvl w:val="0"/>
          <w:numId w:val="5"/>
        </w:numPr>
        <w:spacing w:before="100" w:beforeAutospacing="1" w:after="100" w:afterAutospacing="1" w:line="240" w:lineRule="auto"/>
        <w:rPr>
          <w:rFonts w:eastAsia="Times New Roman" w:cstheme="minorHAnsi"/>
          <w:color w:val="000000"/>
          <w:kern w:val="0"/>
          <w:sz w:val="21"/>
          <w:szCs w:val="21"/>
          <w14:ligatures w14:val="none"/>
        </w:rPr>
      </w:pPr>
      <w:proofErr w:type="spellStart"/>
      <w:r w:rsidRPr="00774C53">
        <w:rPr>
          <w:rFonts w:eastAsia="Times New Roman" w:cstheme="minorHAnsi"/>
          <w:b/>
          <w:bCs/>
          <w:color w:val="000000"/>
          <w:kern w:val="0"/>
          <w:sz w:val="21"/>
          <w:szCs w:val="21"/>
          <w14:ligatures w14:val="none"/>
        </w:rPr>
        <w:t>UoP</w:t>
      </w:r>
      <w:proofErr w:type="spellEnd"/>
      <w:r w:rsidRPr="00774C53">
        <w:rPr>
          <w:rFonts w:eastAsia="Times New Roman" w:cstheme="minorHAnsi"/>
          <w:b/>
          <w:bCs/>
          <w:color w:val="000000"/>
          <w:kern w:val="0"/>
          <w:sz w:val="21"/>
          <w:szCs w:val="21"/>
          <w14:ligatures w14:val="none"/>
        </w:rPr>
        <w:t xml:space="preserve"> Value:</w:t>
      </w:r>
      <w:r w:rsidRPr="00774C53">
        <w:rPr>
          <w:rFonts w:eastAsia="Times New Roman" w:cstheme="minorHAnsi"/>
          <w:color w:val="000000"/>
          <w:kern w:val="0"/>
          <w:sz w:val="21"/>
          <w:szCs w:val="21"/>
          <w14:ligatures w14:val="none"/>
        </w:rPr>
        <w:t> Best-fit actor readiness and fatigue profile.</w:t>
      </w:r>
    </w:p>
    <w:p w14:paraId="7A589E80" w14:textId="77777777" w:rsidR="00774C53" w:rsidRPr="00774C53" w:rsidRDefault="00774C53" w:rsidP="00774C53">
      <w:pPr>
        <w:numPr>
          <w:ilvl w:val="0"/>
          <w:numId w:val="5"/>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Coordination Tax:</w:t>
      </w:r>
      <w:r w:rsidRPr="00774C53">
        <w:rPr>
          <w:rFonts w:eastAsia="Times New Roman" w:cstheme="minorHAnsi"/>
          <w:color w:val="000000"/>
          <w:kern w:val="0"/>
          <w:sz w:val="21"/>
          <w:szCs w:val="21"/>
          <w14:ligatures w14:val="none"/>
        </w:rPr>
        <w:t> Monthly dollar cost of organizational friction (subtracted).</w:t>
      </w:r>
    </w:p>
    <w:p w14:paraId="34C58498" w14:textId="77777777" w:rsidR="00774C53" w:rsidRPr="00774C53" w:rsidRDefault="00774C53" w:rsidP="00774C53">
      <w:pPr>
        <w:numPr>
          <w:ilvl w:val="0"/>
          <w:numId w:val="5"/>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Governance Score:</w:t>
      </w:r>
      <w:r w:rsidRPr="00774C53">
        <w:rPr>
          <w:rFonts w:eastAsia="Times New Roman" w:cstheme="minorHAnsi"/>
          <w:color w:val="000000"/>
          <w:kern w:val="0"/>
          <w:sz w:val="21"/>
          <w:szCs w:val="21"/>
          <w14:ligatures w14:val="none"/>
        </w:rPr>
        <w:t> Compliance fit for the Boundary and Policy Pack.</w:t>
      </w:r>
    </w:p>
    <w:p w14:paraId="187C8ADF" w14:textId="77777777" w:rsidR="00774C53" w:rsidRPr="00774C53" w:rsidRDefault="00774C53" w:rsidP="00774C53">
      <w:pPr>
        <w:numPr>
          <w:ilvl w:val="0"/>
          <w:numId w:val="5"/>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Runtime Fit:</w:t>
      </w:r>
      <w:r w:rsidRPr="00774C53">
        <w:rPr>
          <w:rFonts w:eastAsia="Times New Roman" w:cstheme="minorHAnsi"/>
          <w:color w:val="000000"/>
          <w:kern w:val="0"/>
          <w:sz w:val="21"/>
          <w:szCs w:val="21"/>
          <w14:ligatures w14:val="none"/>
        </w:rPr>
        <w:t> Latency and cost budget vs. task constraints.</w:t>
      </w:r>
    </w:p>
    <w:p w14:paraId="7CE843B5" w14:textId="77777777" w:rsidR="00774C53" w:rsidRPr="00774C53" w:rsidRDefault="00774C53" w:rsidP="00774C53">
      <w:pPr>
        <w:numPr>
          <w:ilvl w:val="0"/>
          <w:numId w:val="5"/>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Economic Value:</w:t>
      </w:r>
      <w:r w:rsidRPr="00774C53">
        <w:rPr>
          <w:rFonts w:eastAsia="Times New Roman" w:cstheme="minorHAnsi"/>
          <w:color w:val="000000"/>
          <w:kern w:val="0"/>
          <w:sz w:val="21"/>
          <w:szCs w:val="21"/>
          <w14:ligatures w14:val="none"/>
        </w:rPr>
        <w:t> (Expected outcome value * predicted success probability) - expected cost.</w:t>
      </w:r>
    </w:p>
    <w:p w14:paraId="757A6785" w14:textId="77777777" w:rsidR="00774C53" w:rsidRPr="00774C53" w:rsidRDefault="00774C53" w:rsidP="00774C53">
      <w:pPr>
        <w:numPr>
          <w:ilvl w:val="0"/>
          <w:numId w:val="5"/>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Risk Penalty:</w:t>
      </w:r>
      <w:r w:rsidRPr="00774C53">
        <w:rPr>
          <w:rFonts w:eastAsia="Times New Roman" w:cstheme="minorHAnsi"/>
          <w:color w:val="000000"/>
          <w:kern w:val="0"/>
          <w:sz w:val="21"/>
          <w:szCs w:val="21"/>
          <w14:ligatures w14:val="none"/>
        </w:rPr>
        <w:t> Combined regulatory and reputational exposure (subtracted).</w:t>
      </w:r>
    </w:p>
    <w:p w14:paraId="73E24164" w14:textId="77777777" w:rsidR="00774C53" w:rsidRPr="00774C53" w:rsidRDefault="00774C53" w:rsidP="00774C53">
      <w:pPr>
        <w:spacing w:before="100" w:beforeAutospacing="1" w:after="100" w:afterAutospacing="1" w:line="240" w:lineRule="auto"/>
        <w:outlineLvl w:val="1"/>
        <w:rPr>
          <w:rFonts w:eastAsia="Times New Roman" w:cstheme="minorHAnsi"/>
          <w:b/>
          <w:bCs/>
          <w:color w:val="000000"/>
          <w:kern w:val="0"/>
          <w:sz w:val="28"/>
          <w:szCs w:val="28"/>
          <w14:ligatures w14:val="none"/>
        </w:rPr>
      </w:pPr>
      <w:r w:rsidRPr="00774C53">
        <w:rPr>
          <w:rFonts w:eastAsia="Times New Roman" w:cstheme="minorHAnsi"/>
          <w:b/>
          <w:bCs/>
          <w:color w:val="000000"/>
          <w:kern w:val="0"/>
          <w:sz w:val="28"/>
          <w:szCs w:val="28"/>
          <w14:ligatures w14:val="none"/>
        </w:rPr>
        <w:t>6. The Closed-Loop Governance: Three-Tier Eval Harness and the Economic Ledger</w:t>
      </w:r>
    </w:p>
    <w:p w14:paraId="49F37EB5"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Trusting vendor-native "success" flags is a strategic risk. AEOS interposes an explicit evaluation stage within the </w:t>
      </w:r>
      <w:r w:rsidRPr="00774C53">
        <w:rPr>
          <w:rFonts w:eastAsia="Times New Roman" w:cstheme="minorHAnsi"/>
          <w:b/>
          <w:bCs/>
          <w:color w:val="000000"/>
          <w:kern w:val="0"/>
          <w:sz w:val="21"/>
          <w:szCs w:val="21"/>
          <w14:ligatures w14:val="none"/>
        </w:rPr>
        <w:t>DEODAG loop</w:t>
      </w:r>
      <w:r w:rsidRPr="00774C53">
        <w:rPr>
          <w:rFonts w:eastAsia="Times New Roman" w:cstheme="minorHAnsi"/>
          <w:color w:val="000000"/>
          <w:kern w:val="0"/>
          <w:sz w:val="21"/>
          <w:szCs w:val="21"/>
          <w14:ligatures w14:val="none"/>
        </w:rPr>
        <w:t> (Document, Observe, Evaluate, Decide, Automate, Govern) before outcomes become operational signals.</w:t>
      </w:r>
    </w:p>
    <w:p w14:paraId="1D50B674"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The </w:t>
      </w:r>
      <w:r w:rsidRPr="00774C53">
        <w:rPr>
          <w:rFonts w:eastAsia="Times New Roman" w:cstheme="minorHAnsi"/>
          <w:b/>
          <w:bCs/>
          <w:color w:val="000000"/>
          <w:kern w:val="0"/>
          <w:sz w:val="21"/>
          <w:szCs w:val="21"/>
          <w14:ligatures w14:val="none"/>
        </w:rPr>
        <w:t>Three-Tier Eval Harness</w:t>
      </w:r>
      <w:r w:rsidRPr="00774C53">
        <w:rPr>
          <w:rFonts w:eastAsia="Times New Roman" w:cstheme="minorHAnsi"/>
          <w:color w:val="000000"/>
          <w:kern w:val="0"/>
          <w:sz w:val="21"/>
          <w:szCs w:val="21"/>
          <w14:ligatures w14:val="none"/>
        </w:rPr>
        <w:t> deep-dives into every execution:</w:t>
      </w:r>
    </w:p>
    <w:p w14:paraId="3C744BAB" w14:textId="77777777" w:rsidR="00774C53" w:rsidRPr="00774C53" w:rsidRDefault="00774C53" w:rsidP="00774C53">
      <w:pPr>
        <w:numPr>
          <w:ilvl w:val="0"/>
          <w:numId w:val="6"/>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Tier 1: Format Compliance:</w:t>
      </w:r>
      <w:r w:rsidRPr="00774C53">
        <w:rPr>
          <w:rFonts w:eastAsia="Times New Roman" w:cstheme="minorHAnsi"/>
          <w:color w:val="000000"/>
          <w:kern w:val="0"/>
          <w:sz w:val="21"/>
          <w:szCs w:val="21"/>
          <w14:ligatures w14:val="none"/>
        </w:rPr>
        <w:t> Automated deterministic checks (JSON schema, regex). </w:t>
      </w:r>
      <w:r w:rsidRPr="00774C53">
        <w:rPr>
          <w:rFonts w:eastAsia="Times New Roman" w:cstheme="minorHAnsi"/>
          <w:b/>
          <w:bCs/>
          <w:color w:val="000000"/>
          <w:kern w:val="0"/>
          <w:sz w:val="21"/>
          <w:szCs w:val="21"/>
          <w14:ligatures w14:val="none"/>
        </w:rPr>
        <w:t xml:space="preserve">Filters 60-70% of </w:t>
      </w:r>
      <w:proofErr w:type="spellStart"/>
      <w:r w:rsidRPr="00774C53">
        <w:rPr>
          <w:rFonts w:eastAsia="Times New Roman" w:cstheme="minorHAnsi"/>
          <w:b/>
          <w:bCs/>
          <w:color w:val="000000"/>
          <w:kern w:val="0"/>
          <w:sz w:val="21"/>
          <w:szCs w:val="21"/>
          <w14:ligatures w14:val="none"/>
        </w:rPr>
        <w:t>failures</w:t>
      </w:r>
      <w:r w:rsidRPr="00774C53">
        <w:rPr>
          <w:rFonts w:eastAsia="Times New Roman" w:cstheme="minorHAnsi"/>
          <w:color w:val="000000"/>
          <w:kern w:val="0"/>
          <w:sz w:val="21"/>
          <w:szCs w:val="21"/>
          <w14:ligatures w14:val="none"/>
        </w:rPr>
        <w:t>before</w:t>
      </w:r>
      <w:proofErr w:type="spellEnd"/>
      <w:r w:rsidRPr="00774C53">
        <w:rPr>
          <w:rFonts w:eastAsia="Times New Roman" w:cstheme="minorHAnsi"/>
          <w:color w:val="000000"/>
          <w:kern w:val="0"/>
          <w:sz w:val="21"/>
          <w:szCs w:val="21"/>
          <w14:ligatures w14:val="none"/>
        </w:rPr>
        <w:t xml:space="preserve"> they reach the Ledger.</w:t>
      </w:r>
    </w:p>
    <w:p w14:paraId="5487BC8E" w14:textId="77777777" w:rsidR="00774C53" w:rsidRPr="00774C53" w:rsidRDefault="00774C53" w:rsidP="00774C53">
      <w:pPr>
        <w:numPr>
          <w:ilvl w:val="0"/>
          <w:numId w:val="6"/>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Tier 2: Factual Accuracy:</w:t>
      </w:r>
      <w:r w:rsidRPr="00774C53">
        <w:rPr>
          <w:rFonts w:eastAsia="Times New Roman" w:cstheme="minorHAnsi"/>
          <w:color w:val="000000"/>
          <w:kern w:val="0"/>
          <w:sz w:val="21"/>
          <w:szCs w:val="21"/>
          <w14:ligatures w14:val="none"/>
        </w:rPr>
        <w:t> Asynchronous verification against the Enterprise Knowledge Graph or third-party APIs using LLM-as-judge.</w:t>
      </w:r>
    </w:p>
    <w:p w14:paraId="765980D4" w14:textId="77777777" w:rsidR="00774C53" w:rsidRPr="00774C53" w:rsidRDefault="00774C53" w:rsidP="00774C53">
      <w:pPr>
        <w:numPr>
          <w:ilvl w:val="0"/>
          <w:numId w:val="6"/>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Tier 3: Quality Judgment:</w:t>
      </w:r>
      <w:r w:rsidRPr="00774C53">
        <w:rPr>
          <w:rFonts w:eastAsia="Times New Roman" w:cstheme="minorHAnsi"/>
          <w:color w:val="000000"/>
          <w:kern w:val="0"/>
          <w:sz w:val="21"/>
          <w:szCs w:val="21"/>
          <w14:ligatures w14:val="none"/>
        </w:rPr>
        <w:t> Human-routed evaluation. The </w:t>
      </w:r>
      <w:r w:rsidRPr="00774C53">
        <w:rPr>
          <w:rFonts w:eastAsia="Times New Roman" w:cstheme="minorHAnsi"/>
          <w:b/>
          <w:bCs/>
          <w:color w:val="000000"/>
          <w:kern w:val="0"/>
          <w:sz w:val="21"/>
          <w:szCs w:val="21"/>
          <w14:ligatures w14:val="none"/>
        </w:rPr>
        <w:t>Skills Authority</w:t>
      </w:r>
      <w:r w:rsidRPr="00774C53">
        <w:rPr>
          <w:rFonts w:eastAsia="Times New Roman" w:cstheme="minorHAnsi"/>
          <w:color w:val="000000"/>
          <w:kern w:val="0"/>
          <w:sz w:val="21"/>
          <w:szCs w:val="21"/>
          <w14:ligatures w14:val="none"/>
        </w:rPr>
        <w:t> authorizes evaluators based on "</w:t>
      </w:r>
      <w:proofErr w:type="spellStart"/>
      <w:r w:rsidRPr="00774C53">
        <w:rPr>
          <w:rFonts w:eastAsia="Times New Roman" w:cstheme="minorHAnsi"/>
          <w:color w:val="000000"/>
          <w:kern w:val="0"/>
          <w:sz w:val="21"/>
          <w:szCs w:val="21"/>
          <w14:ligatures w14:val="none"/>
        </w:rPr>
        <w:t>eval_criteria</w:t>
      </w:r>
      <w:proofErr w:type="spellEnd"/>
      <w:r w:rsidRPr="00774C53">
        <w:rPr>
          <w:rFonts w:eastAsia="Times New Roman" w:cstheme="minorHAnsi"/>
          <w:color w:val="000000"/>
          <w:kern w:val="0"/>
          <w:sz w:val="21"/>
          <w:szCs w:val="21"/>
          <w14:ligatures w14:val="none"/>
        </w:rPr>
        <w:t xml:space="preserve">" declarations, while the </w:t>
      </w:r>
      <w:proofErr w:type="spellStart"/>
      <w:r w:rsidRPr="00774C53">
        <w:rPr>
          <w:rFonts w:eastAsia="Times New Roman" w:cstheme="minorHAnsi"/>
          <w:color w:val="000000"/>
          <w:kern w:val="0"/>
          <w:sz w:val="21"/>
          <w:szCs w:val="21"/>
          <w14:ligatures w14:val="none"/>
        </w:rPr>
        <w:t>rPotential</w:t>
      </w:r>
      <w:proofErr w:type="spellEnd"/>
      <w:r w:rsidRPr="00774C53">
        <w:rPr>
          <w:rFonts w:eastAsia="Times New Roman" w:cstheme="minorHAnsi"/>
          <w:color w:val="000000"/>
          <w:kern w:val="0"/>
          <w:sz w:val="21"/>
          <w:szCs w:val="21"/>
          <w14:ligatures w14:val="none"/>
        </w:rPr>
        <w:t> </w:t>
      </w:r>
      <w:r w:rsidRPr="00774C53">
        <w:rPr>
          <w:rFonts w:eastAsia="Times New Roman" w:cstheme="minorHAnsi"/>
          <w:b/>
          <w:bCs/>
          <w:color w:val="000000"/>
          <w:kern w:val="0"/>
          <w:sz w:val="21"/>
          <w:szCs w:val="21"/>
          <w14:ligatures w14:val="none"/>
        </w:rPr>
        <w:t>Unit of Potential (</w:t>
      </w:r>
      <w:proofErr w:type="spellStart"/>
      <w:r w:rsidRPr="00774C53">
        <w:rPr>
          <w:rFonts w:eastAsia="Times New Roman" w:cstheme="minorHAnsi"/>
          <w:b/>
          <w:bCs/>
          <w:color w:val="000000"/>
          <w:kern w:val="0"/>
          <w:sz w:val="21"/>
          <w:szCs w:val="21"/>
          <w14:ligatures w14:val="none"/>
        </w:rPr>
        <w:t>UoP</w:t>
      </w:r>
      <w:proofErr w:type="spellEnd"/>
      <w:r w:rsidRPr="00774C53">
        <w:rPr>
          <w:rFonts w:eastAsia="Times New Roman" w:cstheme="minorHAnsi"/>
          <w:b/>
          <w:bCs/>
          <w:color w:val="000000"/>
          <w:kern w:val="0"/>
          <w:sz w:val="21"/>
          <w:szCs w:val="21"/>
          <w14:ligatures w14:val="none"/>
        </w:rPr>
        <w:t>)</w:t>
      </w:r>
      <w:r w:rsidRPr="00774C53">
        <w:rPr>
          <w:rFonts w:eastAsia="Times New Roman" w:cstheme="minorHAnsi"/>
          <w:color w:val="000000"/>
          <w:kern w:val="0"/>
          <w:sz w:val="21"/>
          <w:szCs w:val="21"/>
          <w14:ligatures w14:val="none"/>
        </w:rPr>
        <w:t xml:space="preserve"> signal routes to the </w:t>
      </w:r>
      <w:proofErr w:type="gramStart"/>
      <w:r w:rsidRPr="00774C53">
        <w:rPr>
          <w:rFonts w:eastAsia="Times New Roman" w:cstheme="minorHAnsi"/>
          <w:color w:val="000000"/>
          <w:kern w:val="0"/>
          <w:sz w:val="21"/>
          <w:szCs w:val="21"/>
          <w14:ligatures w14:val="none"/>
        </w:rPr>
        <w:t>most "ready"</w:t>
      </w:r>
      <w:proofErr w:type="gramEnd"/>
      <w:r w:rsidRPr="00774C53">
        <w:rPr>
          <w:rFonts w:eastAsia="Times New Roman" w:cstheme="minorHAnsi"/>
          <w:color w:val="000000"/>
          <w:kern w:val="0"/>
          <w:sz w:val="21"/>
          <w:szCs w:val="21"/>
          <w14:ligatures w14:val="none"/>
        </w:rPr>
        <w:t xml:space="preserve"> and "least fatigued" human.</w:t>
      </w:r>
    </w:p>
    <w:p w14:paraId="62B03EC6"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Results are recorded in the </w:t>
      </w:r>
      <w:r w:rsidRPr="00774C53">
        <w:rPr>
          <w:rFonts w:eastAsia="Times New Roman" w:cstheme="minorHAnsi"/>
          <w:b/>
          <w:bCs/>
          <w:color w:val="000000"/>
          <w:kern w:val="0"/>
          <w:sz w:val="21"/>
          <w:szCs w:val="21"/>
          <w14:ligatures w14:val="none"/>
        </w:rPr>
        <w:t>Execution Economic Ledger</w:t>
      </w:r>
      <w:r w:rsidRPr="00774C53">
        <w:rPr>
          <w:rFonts w:eastAsia="Times New Roman" w:cstheme="minorHAnsi"/>
          <w:color w:val="000000"/>
          <w:kern w:val="0"/>
          <w:sz w:val="21"/>
          <w:szCs w:val="21"/>
          <w14:ligatures w14:val="none"/>
        </w:rPr>
        <w:t>, computing "Three Deltas" (</w:t>
      </w:r>
      <w:proofErr w:type="spellStart"/>
      <w:r w:rsidRPr="00774C53">
        <w:rPr>
          <w:rFonts w:eastAsia="Times New Roman" w:cstheme="minorHAnsi"/>
          <w:b/>
          <w:bCs/>
          <w:color w:val="000000"/>
          <w:kern w:val="0"/>
          <w:sz w:val="21"/>
          <w:szCs w:val="21"/>
          <w14:ligatures w14:val="none"/>
        </w:rPr>
        <w:t>gsti_delta</w:t>
      </w:r>
      <w:proofErr w:type="spellEnd"/>
      <w:r w:rsidRPr="00774C53">
        <w:rPr>
          <w:rFonts w:eastAsia="Times New Roman" w:cstheme="minorHAnsi"/>
          <w:b/>
          <w:bCs/>
          <w:color w:val="000000"/>
          <w:kern w:val="0"/>
          <w:sz w:val="21"/>
          <w:szCs w:val="21"/>
          <w14:ligatures w14:val="none"/>
        </w:rPr>
        <w:t xml:space="preserve">, </w:t>
      </w:r>
      <w:proofErr w:type="spellStart"/>
      <w:r w:rsidRPr="00774C53">
        <w:rPr>
          <w:rFonts w:eastAsia="Times New Roman" w:cstheme="minorHAnsi"/>
          <w:b/>
          <w:bCs/>
          <w:color w:val="000000"/>
          <w:kern w:val="0"/>
          <w:sz w:val="21"/>
          <w:szCs w:val="21"/>
          <w14:ligatures w14:val="none"/>
        </w:rPr>
        <w:t>uop_delta</w:t>
      </w:r>
      <w:proofErr w:type="spellEnd"/>
      <w:r w:rsidRPr="00774C53">
        <w:rPr>
          <w:rFonts w:eastAsia="Times New Roman" w:cstheme="minorHAnsi"/>
          <w:b/>
          <w:bCs/>
          <w:color w:val="000000"/>
          <w:kern w:val="0"/>
          <w:sz w:val="21"/>
          <w:szCs w:val="21"/>
          <w14:ligatures w14:val="none"/>
        </w:rPr>
        <w:t xml:space="preserve">, </w:t>
      </w:r>
      <w:proofErr w:type="spellStart"/>
      <w:r w:rsidRPr="00774C53">
        <w:rPr>
          <w:rFonts w:eastAsia="Times New Roman" w:cstheme="minorHAnsi"/>
          <w:b/>
          <w:bCs/>
          <w:color w:val="000000"/>
          <w:kern w:val="0"/>
          <w:sz w:val="21"/>
          <w:szCs w:val="21"/>
          <w14:ligatures w14:val="none"/>
        </w:rPr>
        <w:t>coordination_delta</w:t>
      </w:r>
      <w:proofErr w:type="spellEnd"/>
      <w:r w:rsidRPr="00774C53">
        <w:rPr>
          <w:rFonts w:eastAsia="Times New Roman" w:cstheme="minorHAnsi"/>
          <w:color w:val="000000"/>
          <w:kern w:val="0"/>
          <w:sz w:val="21"/>
          <w:szCs w:val="21"/>
          <w14:ligatures w14:val="none"/>
        </w:rPr>
        <w:t>) that write back to the </w:t>
      </w:r>
      <w:r w:rsidRPr="00774C53">
        <w:rPr>
          <w:rFonts w:eastAsia="Times New Roman" w:cstheme="minorHAnsi"/>
          <w:b/>
          <w:bCs/>
          <w:color w:val="000000"/>
          <w:kern w:val="0"/>
          <w:sz w:val="21"/>
          <w:szCs w:val="21"/>
          <w14:ligatures w14:val="none"/>
        </w:rPr>
        <w:t>Signal Bus</w:t>
      </w:r>
      <w:r w:rsidRPr="00774C53">
        <w:rPr>
          <w:rFonts w:eastAsia="Times New Roman" w:cstheme="minorHAnsi"/>
          <w:color w:val="000000"/>
          <w:kern w:val="0"/>
          <w:sz w:val="21"/>
          <w:szCs w:val="21"/>
          <w14:ligatures w14:val="none"/>
        </w:rPr>
        <w:t> within seconds to influence the next routing decision.</w:t>
      </w:r>
    </w:p>
    <w:p w14:paraId="1E651237" w14:textId="77777777" w:rsidR="00774C53" w:rsidRPr="00774C53" w:rsidRDefault="00774C53" w:rsidP="00774C53">
      <w:pPr>
        <w:spacing w:before="100" w:beforeAutospacing="1" w:after="100" w:afterAutospacing="1" w:line="240" w:lineRule="auto"/>
        <w:outlineLvl w:val="1"/>
        <w:rPr>
          <w:rFonts w:eastAsia="Times New Roman" w:cstheme="minorHAnsi"/>
          <w:b/>
          <w:bCs/>
          <w:color w:val="000000"/>
          <w:kern w:val="0"/>
          <w:sz w:val="28"/>
          <w:szCs w:val="28"/>
          <w14:ligatures w14:val="none"/>
        </w:rPr>
      </w:pPr>
      <w:r w:rsidRPr="00774C53">
        <w:rPr>
          <w:rFonts w:eastAsia="Times New Roman" w:cstheme="minorHAnsi"/>
          <w:b/>
          <w:bCs/>
          <w:color w:val="000000"/>
          <w:kern w:val="0"/>
          <w:sz w:val="28"/>
          <w:szCs w:val="28"/>
          <w14:ligatures w14:val="none"/>
        </w:rPr>
        <w:t>7. Accountability and Attestation: The Enterprise Autonomy Index (EAI)</w:t>
      </w:r>
    </w:p>
    <w:p w14:paraId="26788B1E"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The </w:t>
      </w:r>
      <w:r w:rsidRPr="00774C53">
        <w:rPr>
          <w:rFonts w:eastAsia="Times New Roman" w:cstheme="minorHAnsi"/>
          <w:b/>
          <w:bCs/>
          <w:color w:val="000000"/>
          <w:kern w:val="0"/>
          <w:sz w:val="21"/>
          <w:szCs w:val="21"/>
          <w14:ligatures w14:val="none"/>
        </w:rPr>
        <w:t>Enterprise Autonomy Index (EAI)</w:t>
      </w:r>
      <w:r w:rsidRPr="00774C53">
        <w:rPr>
          <w:rFonts w:eastAsia="Times New Roman" w:cstheme="minorHAnsi"/>
          <w:color w:val="000000"/>
          <w:kern w:val="0"/>
          <w:sz w:val="21"/>
          <w:szCs w:val="21"/>
          <w14:ligatures w14:val="none"/>
        </w:rPr>
        <w:t> distills execution data into board-level proof of whether the enterprise is becoming "smarter" or "dumber":</w:t>
      </w:r>
    </w:p>
    <w:p w14:paraId="797DCE25" w14:textId="77777777" w:rsidR="00774C53" w:rsidRPr="00774C53" w:rsidRDefault="00774C53" w:rsidP="00774C53">
      <w:pPr>
        <w:numPr>
          <w:ilvl w:val="0"/>
          <w:numId w:val="7"/>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Unit Cost of Skill (UCS):</w:t>
      </w:r>
      <w:r w:rsidRPr="00774C53">
        <w:rPr>
          <w:rFonts w:eastAsia="Times New Roman" w:cstheme="minorHAnsi"/>
          <w:color w:val="000000"/>
          <w:kern w:val="0"/>
          <w:sz w:val="21"/>
          <w:szCs w:val="21"/>
          <w14:ligatures w14:val="none"/>
        </w:rPr>
        <w:t> Total cost / execution count.</w:t>
      </w:r>
    </w:p>
    <w:p w14:paraId="6A5A4FE2" w14:textId="77777777" w:rsidR="00774C53" w:rsidRPr="00774C53" w:rsidRDefault="00774C53" w:rsidP="00774C53">
      <w:pPr>
        <w:numPr>
          <w:ilvl w:val="0"/>
          <w:numId w:val="7"/>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Skill Yield (SY):</w:t>
      </w:r>
      <w:r w:rsidRPr="00774C53">
        <w:rPr>
          <w:rFonts w:eastAsia="Times New Roman" w:cstheme="minorHAnsi"/>
          <w:color w:val="000000"/>
          <w:kern w:val="0"/>
          <w:sz w:val="21"/>
          <w:szCs w:val="21"/>
          <w14:ligatures w14:val="none"/>
        </w:rPr>
        <w:t> Success rate per skill.</w:t>
      </w:r>
    </w:p>
    <w:p w14:paraId="25B78744" w14:textId="77777777" w:rsidR="00774C53" w:rsidRPr="00774C53" w:rsidRDefault="00774C53" w:rsidP="00774C53">
      <w:pPr>
        <w:numPr>
          <w:ilvl w:val="0"/>
          <w:numId w:val="7"/>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Skill Efficiency Ratio (SER):</w:t>
      </w:r>
      <w:r w:rsidRPr="00774C53">
        <w:rPr>
          <w:rFonts w:eastAsia="Times New Roman" w:cstheme="minorHAnsi"/>
          <w:color w:val="000000"/>
          <w:kern w:val="0"/>
          <w:sz w:val="21"/>
          <w:szCs w:val="21"/>
          <w14:ligatures w14:val="none"/>
        </w:rPr>
        <w:t> Productivity (Yield / Cost).</w:t>
      </w:r>
    </w:p>
    <w:p w14:paraId="0CCD0057" w14:textId="77777777" w:rsidR="00774C53" w:rsidRPr="00774C53" w:rsidRDefault="00774C53" w:rsidP="00774C53">
      <w:pPr>
        <w:numPr>
          <w:ilvl w:val="0"/>
          <w:numId w:val="7"/>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Execution ROI (EROI):</w:t>
      </w:r>
      <w:r w:rsidRPr="00774C53">
        <w:rPr>
          <w:rFonts w:eastAsia="Times New Roman" w:cstheme="minorHAnsi"/>
          <w:color w:val="000000"/>
          <w:kern w:val="0"/>
          <w:sz w:val="21"/>
          <w:szCs w:val="21"/>
          <w14:ligatures w14:val="none"/>
        </w:rPr>
        <w:t> Outcome value minus cost.</w:t>
      </w:r>
    </w:p>
    <w:p w14:paraId="2F92CBC5" w14:textId="77777777" w:rsidR="00774C53" w:rsidRPr="00774C53" w:rsidRDefault="00774C53" w:rsidP="00774C53">
      <w:pPr>
        <w:numPr>
          <w:ilvl w:val="0"/>
          <w:numId w:val="7"/>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Skill Drift Delta (SDD):</w:t>
      </w:r>
      <w:r w:rsidRPr="00774C53">
        <w:rPr>
          <w:rFonts w:eastAsia="Times New Roman" w:cstheme="minorHAnsi"/>
          <w:color w:val="000000"/>
          <w:kern w:val="0"/>
          <w:sz w:val="21"/>
          <w:szCs w:val="21"/>
          <w14:ligatures w14:val="none"/>
        </w:rPr>
        <w:t> Rate of skill erosion (reveals decay before performance reviews).</w:t>
      </w:r>
    </w:p>
    <w:p w14:paraId="2DA006F4" w14:textId="77777777" w:rsidR="00774C53" w:rsidRPr="00774C53" w:rsidRDefault="00774C53" w:rsidP="00774C53">
      <w:pPr>
        <w:numPr>
          <w:ilvl w:val="0"/>
          <w:numId w:val="7"/>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lastRenderedPageBreak/>
        <w:t>Human Preservation Index (HPI):</w:t>
      </w:r>
      <w:r w:rsidRPr="00774C53">
        <w:rPr>
          <w:rFonts w:eastAsia="Times New Roman" w:cstheme="minorHAnsi"/>
          <w:color w:val="000000"/>
          <w:kern w:val="0"/>
          <w:sz w:val="21"/>
          <w:szCs w:val="21"/>
          <w14:ligatures w14:val="none"/>
        </w:rPr>
        <w:t> Fraction of strategic tasks routed to humans/hybrids.</w:t>
      </w:r>
    </w:p>
    <w:p w14:paraId="6F3795EE" w14:textId="77777777" w:rsidR="00774C53" w:rsidRPr="00774C53" w:rsidRDefault="00774C53" w:rsidP="00774C53">
      <w:pPr>
        <w:numPr>
          <w:ilvl w:val="0"/>
          <w:numId w:val="7"/>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Hybrid Leverage Rate (HLR):</w:t>
      </w:r>
      <w:r w:rsidRPr="00774C53">
        <w:rPr>
          <w:rFonts w:eastAsia="Times New Roman" w:cstheme="minorHAnsi"/>
          <w:color w:val="000000"/>
          <w:kern w:val="0"/>
          <w:sz w:val="21"/>
          <w:szCs w:val="21"/>
          <w14:ligatures w14:val="none"/>
        </w:rPr>
        <w:t> Success-rate improvement of hybrid paths vs. cost.</w:t>
      </w:r>
    </w:p>
    <w:p w14:paraId="427FBCC1" w14:textId="77777777" w:rsidR="00774C53" w:rsidRPr="00774C53" w:rsidRDefault="00774C53" w:rsidP="00774C53">
      <w:p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color w:val="000000"/>
          <w:kern w:val="0"/>
          <w:sz w:val="21"/>
          <w:szCs w:val="21"/>
          <w14:ligatures w14:val="none"/>
        </w:rPr>
        <w:t xml:space="preserve">The combination of </w:t>
      </w:r>
      <w:proofErr w:type="spellStart"/>
      <w:r w:rsidRPr="00774C53">
        <w:rPr>
          <w:rFonts w:eastAsia="Times New Roman" w:cstheme="minorHAnsi"/>
          <w:color w:val="000000"/>
          <w:kern w:val="0"/>
          <w:sz w:val="21"/>
          <w:szCs w:val="21"/>
          <w14:ligatures w14:val="none"/>
        </w:rPr>
        <w:t>FuzeBox</w:t>
      </w:r>
      <w:proofErr w:type="spellEnd"/>
      <w:r w:rsidRPr="00774C53">
        <w:rPr>
          <w:rFonts w:eastAsia="Times New Roman" w:cstheme="minorHAnsi"/>
          <w:color w:val="000000"/>
          <w:kern w:val="0"/>
          <w:sz w:val="21"/>
          <w:szCs w:val="21"/>
          <w14:ligatures w14:val="none"/>
        </w:rPr>
        <w:t xml:space="preserve"> and </w:t>
      </w:r>
      <w:proofErr w:type="spellStart"/>
      <w:r w:rsidRPr="00774C53">
        <w:rPr>
          <w:rFonts w:eastAsia="Times New Roman" w:cstheme="minorHAnsi"/>
          <w:color w:val="000000"/>
          <w:kern w:val="0"/>
          <w:sz w:val="21"/>
          <w:szCs w:val="21"/>
          <w14:ligatures w14:val="none"/>
        </w:rPr>
        <w:t>rPotential</w:t>
      </w:r>
      <w:proofErr w:type="spellEnd"/>
      <w:r w:rsidRPr="00774C53">
        <w:rPr>
          <w:rFonts w:eastAsia="Times New Roman" w:cstheme="minorHAnsi"/>
          <w:color w:val="000000"/>
          <w:kern w:val="0"/>
          <w:sz w:val="21"/>
          <w:szCs w:val="21"/>
          <w14:ligatures w14:val="none"/>
        </w:rPr>
        <w:t xml:space="preserve"> creates a defensible, multi-vendor audit trail signed with Ed25519 for regulatory and fiduciary scrutiny.</w:t>
      </w:r>
    </w:p>
    <w:p w14:paraId="3979042B" w14:textId="77777777" w:rsidR="00774C53" w:rsidRPr="00774C53" w:rsidRDefault="00774C53" w:rsidP="00774C53">
      <w:pPr>
        <w:spacing w:before="100" w:beforeAutospacing="1" w:after="100" w:afterAutospacing="1" w:line="240" w:lineRule="auto"/>
        <w:outlineLvl w:val="2"/>
        <w:rPr>
          <w:rFonts w:eastAsia="Times New Roman" w:cstheme="minorHAnsi"/>
          <w:b/>
          <w:bCs/>
          <w:color w:val="000000"/>
          <w:kern w:val="0"/>
          <w:sz w:val="22"/>
          <w:szCs w:val="22"/>
          <w14:ligatures w14:val="none"/>
        </w:rPr>
      </w:pPr>
      <w:r w:rsidRPr="00774C53">
        <w:rPr>
          <w:rFonts w:eastAsia="Times New Roman" w:cstheme="minorHAnsi"/>
          <w:b/>
          <w:bCs/>
          <w:color w:val="000000"/>
          <w:kern w:val="0"/>
          <w:sz w:val="22"/>
          <w:szCs w:val="22"/>
          <w14:ligatures w14:val="none"/>
        </w:rPr>
        <w:t>Implementation Roadmap</w:t>
      </w:r>
    </w:p>
    <w:p w14:paraId="72A1A71B" w14:textId="77777777" w:rsidR="00774C53" w:rsidRPr="00774C53" w:rsidRDefault="00774C53" w:rsidP="00774C53">
      <w:pPr>
        <w:numPr>
          <w:ilvl w:val="0"/>
          <w:numId w:val="8"/>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Phase 1: Reference Demonstration (Month 1):</w:t>
      </w:r>
      <w:r w:rsidRPr="00774C53">
        <w:rPr>
          <w:rFonts w:eastAsia="Times New Roman" w:cstheme="minorHAnsi"/>
          <w:color w:val="000000"/>
          <w:kern w:val="0"/>
          <w:sz w:val="21"/>
          <w:szCs w:val="21"/>
          <w14:ligatures w14:val="none"/>
        </w:rPr>
        <w:t xml:space="preserve"> Stand up a runnable proof of all architectural elements, including live connections to all primary runtime vendors and the </w:t>
      </w:r>
      <w:proofErr w:type="gramStart"/>
      <w:r w:rsidRPr="00774C53">
        <w:rPr>
          <w:rFonts w:eastAsia="Times New Roman" w:cstheme="minorHAnsi"/>
          <w:color w:val="000000"/>
          <w:kern w:val="0"/>
          <w:sz w:val="21"/>
          <w:szCs w:val="21"/>
          <w14:ligatures w14:val="none"/>
        </w:rPr>
        <w:t>closed-loop</w:t>
      </w:r>
      <w:proofErr w:type="gramEnd"/>
      <w:r w:rsidRPr="00774C53">
        <w:rPr>
          <w:rFonts w:eastAsia="Times New Roman" w:cstheme="minorHAnsi"/>
          <w:color w:val="000000"/>
          <w:kern w:val="0"/>
          <w:sz w:val="21"/>
          <w:szCs w:val="21"/>
          <w14:ligatures w14:val="none"/>
        </w:rPr>
        <w:t xml:space="preserve"> writeback system.</w:t>
      </w:r>
    </w:p>
    <w:p w14:paraId="3E94AD92" w14:textId="77777777" w:rsidR="00774C53" w:rsidRPr="00774C53" w:rsidRDefault="00774C53" w:rsidP="00774C53">
      <w:pPr>
        <w:numPr>
          <w:ilvl w:val="0"/>
          <w:numId w:val="8"/>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Phase 2: Foundation Build (Q2):</w:t>
      </w:r>
      <w:r w:rsidRPr="00774C53">
        <w:rPr>
          <w:rFonts w:eastAsia="Times New Roman" w:cstheme="minorHAnsi"/>
          <w:color w:val="000000"/>
          <w:kern w:val="0"/>
          <w:sz w:val="21"/>
          <w:szCs w:val="21"/>
          <w14:ligatures w14:val="none"/>
        </w:rPr>
        <w:t> Establish the canonical </w:t>
      </w:r>
      <w:proofErr w:type="spellStart"/>
      <w:r w:rsidRPr="00774C53">
        <w:rPr>
          <w:rFonts w:eastAsia="Times New Roman" w:cstheme="minorHAnsi"/>
          <w:b/>
          <w:bCs/>
          <w:color w:val="000000"/>
          <w:kern w:val="0"/>
          <w:sz w:val="21"/>
          <w:szCs w:val="21"/>
          <w14:ligatures w14:val="none"/>
        </w:rPr>
        <w:t>Protobuf</w:t>
      </w:r>
      <w:proofErr w:type="spellEnd"/>
      <w:r w:rsidRPr="00774C53">
        <w:rPr>
          <w:rFonts w:eastAsia="Times New Roman" w:cstheme="minorHAnsi"/>
          <w:b/>
          <w:bCs/>
          <w:color w:val="000000"/>
          <w:kern w:val="0"/>
          <w:sz w:val="21"/>
          <w:szCs w:val="21"/>
          <w14:ligatures w14:val="none"/>
        </w:rPr>
        <w:t xml:space="preserve"> schemas</w:t>
      </w:r>
      <w:r w:rsidRPr="00774C53">
        <w:rPr>
          <w:rFonts w:eastAsia="Times New Roman" w:cstheme="minorHAnsi"/>
          <w:color w:val="000000"/>
          <w:kern w:val="0"/>
          <w:sz w:val="21"/>
          <w:szCs w:val="21"/>
          <w14:ligatures w14:val="none"/>
        </w:rPr>
        <w:t> across all layers and deploy the core UEF Service using </w:t>
      </w:r>
      <w:r w:rsidRPr="00774C53">
        <w:rPr>
          <w:rFonts w:eastAsia="Times New Roman" w:cstheme="minorHAnsi"/>
          <w:b/>
          <w:bCs/>
          <w:color w:val="000000"/>
          <w:kern w:val="0"/>
          <w:sz w:val="21"/>
          <w:szCs w:val="21"/>
          <w14:ligatures w14:val="none"/>
        </w:rPr>
        <w:t>Go 1.23</w:t>
      </w:r>
      <w:r w:rsidRPr="00774C53">
        <w:rPr>
          <w:rFonts w:eastAsia="Times New Roman" w:cstheme="minorHAnsi"/>
          <w:color w:val="000000"/>
          <w:kern w:val="0"/>
          <w:sz w:val="21"/>
          <w:szCs w:val="21"/>
          <w14:ligatures w14:val="none"/>
        </w:rPr>
        <w:t>.</w:t>
      </w:r>
    </w:p>
    <w:p w14:paraId="68D39021" w14:textId="77777777" w:rsidR="00774C53" w:rsidRPr="00774C53" w:rsidRDefault="00774C53" w:rsidP="00774C53">
      <w:pPr>
        <w:numPr>
          <w:ilvl w:val="0"/>
          <w:numId w:val="8"/>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Phase 3: Governance and Reach (Q3):</w:t>
      </w:r>
      <w:r w:rsidRPr="00774C53">
        <w:rPr>
          <w:rFonts w:eastAsia="Times New Roman" w:cstheme="minorHAnsi"/>
          <w:color w:val="000000"/>
          <w:kern w:val="0"/>
          <w:sz w:val="21"/>
          <w:szCs w:val="21"/>
          <w14:ligatures w14:val="none"/>
        </w:rPr>
        <w:t> Deploy the Governance Service with policy packs, integrate the Dynamic Instruction Runtime, and expand runtime adapters to Microsoft, Salesforce, Pega, and Cloudflare.</w:t>
      </w:r>
    </w:p>
    <w:p w14:paraId="174D36E1" w14:textId="77777777" w:rsidR="00774C53" w:rsidRPr="00774C53" w:rsidRDefault="00774C53" w:rsidP="00774C53">
      <w:pPr>
        <w:numPr>
          <w:ilvl w:val="0"/>
          <w:numId w:val="8"/>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Phase 4: Economic Ledger SKU (Q4):</w:t>
      </w:r>
      <w:r w:rsidRPr="00774C53">
        <w:rPr>
          <w:rFonts w:eastAsia="Times New Roman" w:cstheme="minorHAnsi"/>
          <w:color w:val="000000"/>
          <w:kern w:val="0"/>
          <w:sz w:val="21"/>
          <w:szCs w:val="21"/>
          <w14:ligatures w14:val="none"/>
        </w:rPr>
        <w:t> Launch the Enterprise Autonomy Index (EAI) as a product SKU and establish the cross-tenant benchmarking dataset.</w:t>
      </w:r>
    </w:p>
    <w:p w14:paraId="083F1701" w14:textId="77777777" w:rsidR="00774C53" w:rsidRPr="00774C53" w:rsidRDefault="00774C53" w:rsidP="00774C53">
      <w:pPr>
        <w:numPr>
          <w:ilvl w:val="0"/>
          <w:numId w:val="8"/>
        </w:numPr>
        <w:spacing w:before="100" w:beforeAutospacing="1" w:after="100" w:afterAutospacing="1" w:line="240" w:lineRule="auto"/>
        <w:rPr>
          <w:rFonts w:eastAsia="Times New Roman" w:cstheme="minorHAnsi"/>
          <w:color w:val="000000"/>
          <w:kern w:val="0"/>
          <w:sz w:val="21"/>
          <w:szCs w:val="21"/>
          <w14:ligatures w14:val="none"/>
        </w:rPr>
      </w:pPr>
      <w:r w:rsidRPr="00774C53">
        <w:rPr>
          <w:rFonts w:eastAsia="Times New Roman" w:cstheme="minorHAnsi"/>
          <w:b/>
          <w:bCs/>
          <w:color w:val="000000"/>
          <w:kern w:val="0"/>
          <w:sz w:val="21"/>
          <w:szCs w:val="21"/>
          <w14:ligatures w14:val="none"/>
        </w:rPr>
        <w:t>Phase 5: Expansion (Q1 Following Year):</w:t>
      </w:r>
      <w:r w:rsidRPr="00774C53">
        <w:rPr>
          <w:rFonts w:eastAsia="Times New Roman" w:cstheme="minorHAnsi"/>
          <w:color w:val="000000"/>
          <w:kern w:val="0"/>
          <w:sz w:val="21"/>
          <w:szCs w:val="21"/>
          <w14:ligatures w14:val="none"/>
        </w:rPr>
        <w:t> Deploy into EU regions with localized policy enforcement and launch channel partner motions for global reach.</w:t>
      </w:r>
    </w:p>
    <w:p w14:paraId="08C1D25B" w14:textId="77777777" w:rsidR="009A1AB9" w:rsidRDefault="009A1AB9"/>
    <w:sectPr w:rsidR="009A1A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00000000" w:usb2="0001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6EAC"/>
    <w:multiLevelType w:val="multilevel"/>
    <w:tmpl w:val="3CA85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E74CF"/>
    <w:multiLevelType w:val="multilevel"/>
    <w:tmpl w:val="F116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F2C27"/>
    <w:multiLevelType w:val="multilevel"/>
    <w:tmpl w:val="1086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C53511"/>
    <w:multiLevelType w:val="multilevel"/>
    <w:tmpl w:val="191ED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E63C34"/>
    <w:multiLevelType w:val="multilevel"/>
    <w:tmpl w:val="889C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A35B51"/>
    <w:multiLevelType w:val="multilevel"/>
    <w:tmpl w:val="D48C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313866"/>
    <w:multiLevelType w:val="multilevel"/>
    <w:tmpl w:val="CD70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BC7842"/>
    <w:multiLevelType w:val="multilevel"/>
    <w:tmpl w:val="78364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359635">
    <w:abstractNumId w:val="1"/>
  </w:num>
  <w:num w:numId="2" w16cid:durableId="440297616">
    <w:abstractNumId w:val="3"/>
  </w:num>
  <w:num w:numId="3" w16cid:durableId="1777944152">
    <w:abstractNumId w:val="6"/>
  </w:num>
  <w:num w:numId="4" w16cid:durableId="1144196682">
    <w:abstractNumId w:val="7"/>
  </w:num>
  <w:num w:numId="5" w16cid:durableId="287325828">
    <w:abstractNumId w:val="4"/>
  </w:num>
  <w:num w:numId="6" w16cid:durableId="1363093111">
    <w:abstractNumId w:val="2"/>
  </w:num>
  <w:num w:numId="7" w16cid:durableId="1532570910">
    <w:abstractNumId w:val="5"/>
  </w:num>
  <w:num w:numId="8" w16cid:durableId="95486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C53"/>
    <w:rsid w:val="001F454C"/>
    <w:rsid w:val="00204C38"/>
    <w:rsid w:val="003D611D"/>
    <w:rsid w:val="00497790"/>
    <w:rsid w:val="00774C53"/>
    <w:rsid w:val="00784845"/>
    <w:rsid w:val="009A1AB9"/>
    <w:rsid w:val="00B41B0C"/>
    <w:rsid w:val="00C80423"/>
    <w:rsid w:val="00D7305D"/>
    <w:rsid w:val="00DA5449"/>
    <w:rsid w:val="00F8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D0E3D3"/>
  <w15:chartTrackingRefBased/>
  <w15:docId w15:val="{8218AA77-391A-164B-B203-08A9535C4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C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4C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4C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4C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4C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4C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C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C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C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C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4C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4C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4C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4C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4C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C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C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C53"/>
    <w:rPr>
      <w:rFonts w:eastAsiaTheme="majorEastAsia" w:cstheme="majorBidi"/>
      <w:color w:val="272727" w:themeColor="text1" w:themeTint="D8"/>
    </w:rPr>
  </w:style>
  <w:style w:type="paragraph" w:styleId="Title">
    <w:name w:val="Title"/>
    <w:basedOn w:val="Normal"/>
    <w:next w:val="Normal"/>
    <w:link w:val="TitleChar"/>
    <w:uiPriority w:val="10"/>
    <w:qFormat/>
    <w:rsid w:val="00774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C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C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C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C53"/>
    <w:pPr>
      <w:spacing w:before="160"/>
      <w:jc w:val="center"/>
    </w:pPr>
    <w:rPr>
      <w:i/>
      <w:iCs/>
      <w:color w:val="404040" w:themeColor="text1" w:themeTint="BF"/>
    </w:rPr>
  </w:style>
  <w:style w:type="character" w:customStyle="1" w:styleId="QuoteChar">
    <w:name w:val="Quote Char"/>
    <w:basedOn w:val="DefaultParagraphFont"/>
    <w:link w:val="Quote"/>
    <w:uiPriority w:val="29"/>
    <w:rsid w:val="00774C53"/>
    <w:rPr>
      <w:i/>
      <w:iCs/>
      <w:color w:val="404040" w:themeColor="text1" w:themeTint="BF"/>
    </w:rPr>
  </w:style>
  <w:style w:type="paragraph" w:styleId="ListParagraph">
    <w:name w:val="List Paragraph"/>
    <w:basedOn w:val="Normal"/>
    <w:uiPriority w:val="34"/>
    <w:qFormat/>
    <w:rsid w:val="00774C53"/>
    <w:pPr>
      <w:ind w:left="720"/>
      <w:contextualSpacing/>
    </w:pPr>
  </w:style>
  <w:style w:type="character" w:styleId="IntenseEmphasis">
    <w:name w:val="Intense Emphasis"/>
    <w:basedOn w:val="DefaultParagraphFont"/>
    <w:uiPriority w:val="21"/>
    <w:qFormat/>
    <w:rsid w:val="00774C53"/>
    <w:rPr>
      <w:i/>
      <w:iCs/>
      <w:color w:val="2F5496" w:themeColor="accent1" w:themeShade="BF"/>
    </w:rPr>
  </w:style>
  <w:style w:type="paragraph" w:styleId="IntenseQuote">
    <w:name w:val="Intense Quote"/>
    <w:basedOn w:val="Normal"/>
    <w:next w:val="Normal"/>
    <w:link w:val="IntenseQuoteChar"/>
    <w:uiPriority w:val="30"/>
    <w:qFormat/>
    <w:rsid w:val="00774C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4C53"/>
    <w:rPr>
      <w:i/>
      <w:iCs/>
      <w:color w:val="2F5496" w:themeColor="accent1" w:themeShade="BF"/>
    </w:rPr>
  </w:style>
  <w:style w:type="character" w:styleId="IntenseReference">
    <w:name w:val="Intense Reference"/>
    <w:basedOn w:val="DefaultParagraphFont"/>
    <w:uiPriority w:val="32"/>
    <w:qFormat/>
    <w:rsid w:val="00774C53"/>
    <w:rPr>
      <w:b/>
      <w:bCs/>
      <w:smallCaps/>
      <w:color w:val="2F5496" w:themeColor="accent1" w:themeShade="BF"/>
      <w:spacing w:val="5"/>
    </w:rPr>
  </w:style>
  <w:style w:type="paragraph" w:styleId="NormalWeb">
    <w:name w:val="Normal (Web)"/>
    <w:basedOn w:val="Normal"/>
    <w:uiPriority w:val="99"/>
    <w:semiHidden/>
    <w:unhideWhenUsed/>
    <w:rsid w:val="00774C5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74C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1687</Words>
  <Characters>10646</Characters>
  <Application>Microsoft Office Word</Application>
  <DocSecurity>0</DocSecurity>
  <Lines>212</Lines>
  <Paragraphs>148</Paragraphs>
  <ScaleCrop>false</ScaleCrop>
  <Company/>
  <LinksUpToDate>false</LinksUpToDate>
  <CharactersWithSpaces>12185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 Ottolenghi</dc:creator>
  <cp:keywords/>
  <dc:description/>
  <cp:lastModifiedBy>Les Ottolenghi</cp:lastModifiedBy>
  <cp:revision>1</cp:revision>
  <dcterms:created xsi:type="dcterms:W3CDTF">2026-04-19T17:48:00Z</dcterms:created>
  <dcterms:modified xsi:type="dcterms:W3CDTF">2026-04-19T17:48:00Z</dcterms:modified>
</cp:coreProperties>
</file>