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00D1D" w14:textId="77777777" w:rsidR="002E6607" w:rsidRPr="002E6607" w:rsidRDefault="002E6607" w:rsidP="002E6607">
      <w:pPr>
        <w:spacing w:before="100" w:beforeAutospacing="1" w:after="100" w:afterAutospacing="1" w:line="240" w:lineRule="auto"/>
        <w:outlineLvl w:val="0"/>
        <w:rPr>
          <w:rFonts w:eastAsia="Times New Roman" w:cstheme="minorHAnsi"/>
          <w:b/>
          <w:bCs/>
          <w:color w:val="000000"/>
          <w:kern w:val="36"/>
          <w:sz w:val="36"/>
          <w:szCs w:val="36"/>
          <w14:ligatures w14:val="none"/>
        </w:rPr>
      </w:pPr>
      <w:r w:rsidRPr="002E6607">
        <w:rPr>
          <w:rFonts w:eastAsia="Times New Roman" w:cstheme="minorHAnsi"/>
          <w:b/>
          <w:bCs/>
          <w:color w:val="000000"/>
          <w:kern w:val="36"/>
          <w:sz w:val="36"/>
          <w:szCs w:val="36"/>
          <w14:ligatures w14:val="none"/>
        </w:rPr>
        <w:t>The End of the Model Monolith: Why the Control Plane is the New Enterprise Moat</w:t>
      </w:r>
    </w:p>
    <w:p w14:paraId="4133BCEB" w14:textId="77777777" w:rsidR="002E6607" w:rsidRPr="002E6607" w:rsidRDefault="002E6607" w:rsidP="002E6607">
      <w:p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color w:val="000000"/>
          <w:kern w:val="0"/>
          <w:sz w:val="20"/>
          <w:szCs w:val="20"/>
          <w14:ligatures w14:val="none"/>
        </w:rPr>
        <w:t xml:space="preserve">By 2026, the dream of the "single-vendor AI stack" has not just died; it has been discarded as a fiduciary failure. The typical Global 2000 enterprise is currently drowning in a sea of five to ten simultaneous runtimes. Anthropic handles the reasoning-heavy strategic work, OpenAI powers the high-volume structured workflows, Google Vertex is the choice for multi-modal tasks, while specialized platforms like Pega and </w:t>
      </w:r>
      <w:proofErr w:type="spellStart"/>
      <w:r w:rsidRPr="002E6607">
        <w:rPr>
          <w:rFonts w:eastAsia="Times New Roman" w:cstheme="minorHAnsi"/>
          <w:color w:val="000000"/>
          <w:kern w:val="0"/>
          <w:sz w:val="20"/>
          <w:szCs w:val="20"/>
          <w14:ligatures w14:val="none"/>
        </w:rPr>
        <w:t>Uniphore</w:t>
      </w:r>
      <w:proofErr w:type="spellEnd"/>
      <w:r w:rsidRPr="002E6607">
        <w:rPr>
          <w:rFonts w:eastAsia="Times New Roman" w:cstheme="minorHAnsi"/>
          <w:color w:val="000000"/>
          <w:kern w:val="0"/>
          <w:sz w:val="20"/>
          <w:szCs w:val="20"/>
          <w14:ligatures w14:val="none"/>
        </w:rPr>
        <w:t xml:space="preserve"> define the "back-office center of gravity" for claims, underwriting, and voice-first automation.</w:t>
      </w:r>
    </w:p>
    <w:p w14:paraId="78E363BA" w14:textId="77777777" w:rsidR="002E6607" w:rsidRPr="002E6607" w:rsidRDefault="002E6607" w:rsidP="002E6607">
      <w:p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color w:val="000000"/>
          <w:kern w:val="0"/>
          <w:sz w:val="20"/>
          <w:szCs w:val="20"/>
          <w14:ligatures w14:val="none"/>
        </w:rPr>
        <w:t>For a Fortune 500 board, "single-vendor concentration" is no longer a technical preference—it is a fatal risk posture. Regulatory footprints vary by jurisdiction, requiring regional routing to meet sovereignty laws, while the sheer economics of the workforce differ by business unit. This multi-vendor reality is the permanent shape of the agentic enterprise. The problem is that as these runtimes proliferate, the enterprise loses the ability to govern, measure, and optimize. Every vendor—from Microsoft to Salesforce—is trying to build their own "Operating System," yet they are all structurally disqualified from the role.</w:t>
      </w:r>
    </w:p>
    <w:p w14:paraId="4675C70A" w14:textId="77777777" w:rsidR="002E6607" w:rsidRPr="002E6607" w:rsidRDefault="002E6607" w:rsidP="002E6607">
      <w:p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color w:val="000000"/>
          <w:kern w:val="0"/>
          <w:sz w:val="20"/>
          <w:szCs w:val="20"/>
          <w14:ligatures w14:val="none"/>
        </w:rPr>
        <w:t xml:space="preserve">"No single runtime vendor can build [an operating system] without becoming non-neutral against their competitors or without acquiring a workforce intelligence provider... </w:t>
      </w:r>
      <w:proofErr w:type="spellStart"/>
      <w:r w:rsidRPr="002E6607">
        <w:rPr>
          <w:rFonts w:eastAsia="Times New Roman" w:cstheme="minorHAnsi"/>
          <w:color w:val="000000"/>
          <w:kern w:val="0"/>
          <w:sz w:val="20"/>
          <w:szCs w:val="20"/>
          <w14:ligatures w14:val="none"/>
        </w:rPr>
        <w:t>FuzeBox</w:t>
      </w:r>
      <w:proofErr w:type="spellEnd"/>
      <w:r w:rsidRPr="002E6607">
        <w:rPr>
          <w:rFonts w:eastAsia="Times New Roman" w:cstheme="minorHAnsi"/>
          <w:color w:val="000000"/>
          <w:kern w:val="0"/>
          <w:sz w:val="20"/>
          <w:szCs w:val="20"/>
          <w14:ligatures w14:val="none"/>
        </w:rPr>
        <w:t xml:space="preserve"> is the only system that makes the signal economically meaningful across every vendor runtime simultaneously."</w:t>
      </w:r>
    </w:p>
    <w:p w14:paraId="2F6196D6" w14:textId="77777777" w:rsidR="002E6607" w:rsidRPr="002E6607" w:rsidRDefault="002E6607" w:rsidP="002E6607">
      <w:p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color w:val="000000"/>
          <w:kern w:val="0"/>
          <w:sz w:val="20"/>
          <w:szCs w:val="20"/>
          <w14:ligatures w14:val="none"/>
        </w:rPr>
        <w:t>The "Operating System" of the agentic era isn't a model; it is a neutral control plane sitting above the stacks. Here are five takeaways on the invisible architecture defining the future of AI ROI.</w:t>
      </w:r>
    </w:p>
    <w:p w14:paraId="4DE45F2A" w14:textId="77777777" w:rsidR="002E6607" w:rsidRPr="002E6607" w:rsidRDefault="002E6607" w:rsidP="002E6607">
      <w:pPr>
        <w:spacing w:before="100" w:beforeAutospacing="1" w:after="100" w:afterAutospacing="1" w:line="240" w:lineRule="auto"/>
        <w:outlineLvl w:val="1"/>
        <w:rPr>
          <w:rFonts w:eastAsia="Times New Roman" w:cstheme="minorHAnsi"/>
          <w:b/>
          <w:bCs/>
          <w:color w:val="000000"/>
          <w:kern w:val="0"/>
          <w14:ligatures w14:val="none"/>
        </w:rPr>
      </w:pPr>
      <w:r w:rsidRPr="002E6607">
        <w:rPr>
          <w:rFonts w:eastAsia="Times New Roman" w:cstheme="minorHAnsi"/>
          <w:b/>
          <w:bCs/>
          <w:color w:val="000000"/>
          <w:kern w:val="0"/>
          <w14:ligatures w14:val="none"/>
        </w:rPr>
        <w:t>1. Your AI Success Flags are Lying to You: The Three-Tier Eval</w:t>
      </w:r>
    </w:p>
    <w:p w14:paraId="4D23BCC7" w14:textId="77777777" w:rsidR="002E6607" w:rsidRPr="002E6607" w:rsidRDefault="002E6607" w:rsidP="002E6607">
      <w:p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color w:val="000000"/>
          <w:kern w:val="0"/>
          <w:sz w:val="20"/>
          <w:szCs w:val="20"/>
          <w14:ligatures w14:val="none"/>
        </w:rPr>
        <w:t xml:space="preserve">Current enterprise AI deployments suffer from a massive reliability gap because they trust the vendor’s self-reported "success" flag. In technical terms, a vendor success flag only means the API didn't crash; it says nothing about whether the output was </w:t>
      </w:r>
      <w:proofErr w:type="gramStart"/>
      <w:r w:rsidRPr="002E6607">
        <w:rPr>
          <w:rFonts w:eastAsia="Times New Roman" w:cstheme="minorHAnsi"/>
          <w:color w:val="000000"/>
          <w:kern w:val="0"/>
          <w:sz w:val="20"/>
          <w:szCs w:val="20"/>
          <w14:ligatures w14:val="none"/>
        </w:rPr>
        <w:t>actually good</w:t>
      </w:r>
      <w:proofErr w:type="gramEnd"/>
      <w:r w:rsidRPr="002E6607">
        <w:rPr>
          <w:rFonts w:eastAsia="Times New Roman" w:cstheme="minorHAnsi"/>
          <w:color w:val="000000"/>
          <w:kern w:val="0"/>
          <w:sz w:val="20"/>
          <w:szCs w:val="20"/>
          <w14:ligatures w14:val="none"/>
        </w:rPr>
        <w:t>, compliant, or factually correct. When "false success" propagates into your books, your AI appears effective while your enterprise value erodes.</w:t>
      </w:r>
    </w:p>
    <w:p w14:paraId="6F0DF50F" w14:textId="77777777" w:rsidR="002E6607" w:rsidRPr="002E6607" w:rsidRDefault="002E6607" w:rsidP="002E6607">
      <w:p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color w:val="000000"/>
          <w:kern w:val="0"/>
          <w:sz w:val="20"/>
          <w:szCs w:val="20"/>
          <w14:ligatures w14:val="none"/>
        </w:rPr>
        <w:t>To solve this, the control plane implements a </w:t>
      </w:r>
      <w:r w:rsidRPr="002E6607">
        <w:rPr>
          <w:rFonts w:eastAsia="Times New Roman" w:cstheme="minorHAnsi"/>
          <w:b/>
          <w:bCs/>
          <w:color w:val="000000"/>
          <w:kern w:val="0"/>
          <w:sz w:val="20"/>
          <w:szCs w:val="20"/>
          <w14:ligatures w14:val="none"/>
        </w:rPr>
        <w:t>Three-Tier Eval Harness</w:t>
      </w:r>
      <w:r w:rsidRPr="002E6607">
        <w:rPr>
          <w:rFonts w:eastAsia="Times New Roman" w:cstheme="minorHAnsi"/>
          <w:color w:val="000000"/>
          <w:kern w:val="0"/>
          <w:sz w:val="20"/>
          <w:szCs w:val="20"/>
          <w14:ligatures w14:val="none"/>
        </w:rPr>
        <w:t>:</w:t>
      </w:r>
    </w:p>
    <w:p w14:paraId="057F2754" w14:textId="77777777" w:rsidR="002E6607" w:rsidRPr="002E6607" w:rsidRDefault="002E6607" w:rsidP="002E6607">
      <w:pPr>
        <w:numPr>
          <w:ilvl w:val="0"/>
          <w:numId w:val="1"/>
        </w:num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b/>
          <w:bCs/>
          <w:color w:val="000000"/>
          <w:kern w:val="0"/>
          <w:sz w:val="20"/>
          <w:szCs w:val="20"/>
          <w14:ligatures w14:val="none"/>
        </w:rPr>
        <w:t>Tier 1: Format Compliance:</w:t>
      </w:r>
      <w:r w:rsidRPr="002E6607">
        <w:rPr>
          <w:rFonts w:eastAsia="Times New Roman" w:cstheme="minorHAnsi"/>
          <w:color w:val="000000"/>
          <w:kern w:val="0"/>
          <w:sz w:val="20"/>
          <w:szCs w:val="20"/>
          <w14:ligatures w14:val="none"/>
        </w:rPr>
        <w:t> Automated, deterministic checks (JSON schemas, regex, character counts). This filters 60–70% of failures instantly.</w:t>
      </w:r>
    </w:p>
    <w:p w14:paraId="7A148420" w14:textId="77777777" w:rsidR="002E6607" w:rsidRPr="002E6607" w:rsidRDefault="002E6607" w:rsidP="002E6607">
      <w:pPr>
        <w:numPr>
          <w:ilvl w:val="0"/>
          <w:numId w:val="1"/>
        </w:num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b/>
          <w:bCs/>
          <w:color w:val="000000"/>
          <w:kern w:val="0"/>
          <w:sz w:val="20"/>
          <w:szCs w:val="20"/>
          <w14:ligatures w14:val="none"/>
        </w:rPr>
        <w:t>Tier 2: Factual Accuracy:</w:t>
      </w:r>
      <w:r w:rsidRPr="002E6607">
        <w:rPr>
          <w:rFonts w:eastAsia="Times New Roman" w:cstheme="minorHAnsi"/>
          <w:color w:val="000000"/>
          <w:kern w:val="0"/>
          <w:sz w:val="20"/>
          <w:szCs w:val="20"/>
          <w14:ligatures w14:val="none"/>
        </w:rPr>
        <w:t> Semi-automated verification against ground truth, utilizing knowledge graphs and "LLM-as-judge" patterns.</w:t>
      </w:r>
    </w:p>
    <w:p w14:paraId="001DABD3" w14:textId="77777777" w:rsidR="002E6607" w:rsidRPr="002E6607" w:rsidRDefault="002E6607" w:rsidP="002E6607">
      <w:pPr>
        <w:numPr>
          <w:ilvl w:val="0"/>
          <w:numId w:val="1"/>
        </w:num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b/>
          <w:bCs/>
          <w:color w:val="000000"/>
          <w:kern w:val="0"/>
          <w:sz w:val="20"/>
          <w:szCs w:val="20"/>
          <w14:ligatures w14:val="none"/>
        </w:rPr>
        <w:t>Tier 3: Quality Judgment:</w:t>
      </w:r>
      <w:r w:rsidRPr="002E6607">
        <w:rPr>
          <w:rFonts w:eastAsia="Times New Roman" w:cstheme="minorHAnsi"/>
          <w:color w:val="000000"/>
          <w:kern w:val="0"/>
          <w:sz w:val="20"/>
          <w:szCs w:val="20"/>
          <w14:ligatures w14:val="none"/>
        </w:rPr>
        <w:t> Human-routed evaluation for tasks requiring taste or strategic interpretation.</w:t>
      </w:r>
    </w:p>
    <w:p w14:paraId="0D557C39" w14:textId="77777777" w:rsidR="002E6607" w:rsidRPr="002E6607" w:rsidRDefault="002E6607" w:rsidP="002E6607">
      <w:p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color w:val="000000"/>
          <w:kern w:val="0"/>
          <w:sz w:val="20"/>
          <w:szCs w:val="20"/>
          <w14:ligatures w14:val="none"/>
        </w:rPr>
        <w:t>Crucially, Tier 3 doesn't just route to the "nearest" manager. It utilizes </w:t>
      </w:r>
      <w:r w:rsidRPr="002E6607">
        <w:rPr>
          <w:rFonts w:eastAsia="Times New Roman" w:cstheme="minorHAnsi"/>
          <w:b/>
          <w:bCs/>
          <w:color w:val="000000"/>
          <w:kern w:val="0"/>
          <w:sz w:val="20"/>
          <w:szCs w:val="20"/>
          <w14:ligatures w14:val="none"/>
        </w:rPr>
        <w:t>Workforce Intelligence</w:t>
      </w:r>
      <w:r w:rsidRPr="002E6607">
        <w:rPr>
          <w:rFonts w:eastAsia="Times New Roman" w:cstheme="minorHAnsi"/>
          <w:color w:val="000000"/>
          <w:kern w:val="0"/>
          <w:sz w:val="20"/>
          <w:szCs w:val="20"/>
          <w14:ligatures w14:val="none"/>
        </w:rPr>
        <w:t> (</w:t>
      </w:r>
      <w:proofErr w:type="spellStart"/>
      <w:r w:rsidRPr="002E6607">
        <w:rPr>
          <w:rFonts w:eastAsia="Times New Roman" w:cstheme="minorHAnsi"/>
          <w:color w:val="000000"/>
          <w:kern w:val="0"/>
          <w:sz w:val="20"/>
          <w:szCs w:val="20"/>
          <w14:ligatures w14:val="none"/>
        </w:rPr>
        <w:t>UoP</w:t>
      </w:r>
      <w:proofErr w:type="spellEnd"/>
      <w:r w:rsidRPr="002E6607">
        <w:rPr>
          <w:rFonts w:eastAsia="Times New Roman" w:cstheme="minorHAnsi"/>
          <w:color w:val="000000"/>
          <w:kern w:val="0"/>
          <w:sz w:val="20"/>
          <w:szCs w:val="20"/>
          <w14:ligatures w14:val="none"/>
        </w:rPr>
        <w:t xml:space="preserve"> signals) to route quality judgments based on real-time </w:t>
      </w:r>
      <w:r w:rsidRPr="002E6607">
        <w:rPr>
          <w:rFonts w:eastAsia="Times New Roman" w:cstheme="minorHAnsi"/>
          <w:b/>
          <w:bCs/>
          <w:color w:val="000000"/>
          <w:kern w:val="0"/>
          <w:sz w:val="20"/>
          <w:szCs w:val="20"/>
          <w14:ligatures w14:val="none"/>
        </w:rPr>
        <w:t>readiness and fatigue profiles</w:t>
      </w:r>
      <w:r w:rsidRPr="002E6607">
        <w:rPr>
          <w:rFonts w:eastAsia="Times New Roman" w:cstheme="minorHAnsi"/>
          <w:color w:val="000000"/>
          <w:kern w:val="0"/>
          <w:sz w:val="20"/>
          <w:szCs w:val="20"/>
          <w14:ligatures w14:val="none"/>
        </w:rPr>
        <w:t> rather than organizational hierarchy. The system selects the specific individual whose current mental bandwidth and skill certification make them the optimal judge for that specific task. This is the difference between "Management-based routing" and "Intelligence-based routing."</w:t>
      </w:r>
    </w:p>
    <w:p w14:paraId="238B3D86" w14:textId="77777777" w:rsidR="002E6607" w:rsidRPr="002E6607" w:rsidRDefault="002E6607" w:rsidP="002E6607">
      <w:pPr>
        <w:spacing w:before="100" w:beforeAutospacing="1" w:after="100" w:afterAutospacing="1" w:line="240" w:lineRule="auto"/>
        <w:outlineLvl w:val="1"/>
        <w:rPr>
          <w:rFonts w:eastAsia="Times New Roman" w:cstheme="minorHAnsi"/>
          <w:b/>
          <w:bCs/>
          <w:color w:val="000000"/>
          <w:kern w:val="0"/>
          <w14:ligatures w14:val="none"/>
        </w:rPr>
      </w:pPr>
      <w:r w:rsidRPr="002E6607">
        <w:rPr>
          <w:rFonts w:eastAsia="Times New Roman" w:cstheme="minorHAnsi"/>
          <w:b/>
          <w:bCs/>
          <w:color w:val="000000"/>
          <w:kern w:val="0"/>
          <w14:ligatures w14:val="none"/>
        </w:rPr>
        <w:t>2. The "Coordination Tax" is Your Real ROI Killer</w:t>
      </w:r>
    </w:p>
    <w:p w14:paraId="2FC402FB" w14:textId="77777777" w:rsidR="002E6607" w:rsidRPr="002E6607" w:rsidRDefault="002E6607" w:rsidP="002E6607">
      <w:p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color w:val="000000"/>
          <w:kern w:val="0"/>
          <w:sz w:val="20"/>
          <w:szCs w:val="20"/>
          <w14:ligatures w14:val="none"/>
        </w:rPr>
        <w:t>Most organizations measure AI ROI based on token costs. This is a strategic blind spot. The true cost of AI integration is the </w:t>
      </w:r>
      <w:r w:rsidRPr="002E6607">
        <w:rPr>
          <w:rFonts w:eastAsia="Times New Roman" w:cstheme="minorHAnsi"/>
          <w:b/>
          <w:bCs/>
          <w:color w:val="000000"/>
          <w:kern w:val="0"/>
          <w:sz w:val="20"/>
          <w:szCs w:val="20"/>
          <w14:ligatures w14:val="none"/>
        </w:rPr>
        <w:t>Coordination Tax</w:t>
      </w:r>
      <w:r w:rsidRPr="002E6607">
        <w:rPr>
          <w:rFonts w:eastAsia="Times New Roman" w:cstheme="minorHAnsi"/>
          <w:color w:val="000000"/>
          <w:kern w:val="0"/>
          <w:sz w:val="20"/>
          <w:szCs w:val="20"/>
          <w14:ligatures w14:val="none"/>
        </w:rPr>
        <w:t>—the quantifiable organizational friction of handoffs, wait times, and resource costs incurred when a process moves between actors.</w:t>
      </w:r>
    </w:p>
    <w:p w14:paraId="0DB32274" w14:textId="77777777" w:rsidR="002E6607" w:rsidRPr="002E6607" w:rsidRDefault="002E6607" w:rsidP="002E6607">
      <w:p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color w:val="000000"/>
          <w:kern w:val="0"/>
          <w:sz w:val="20"/>
          <w:szCs w:val="20"/>
          <w14:ligatures w14:val="none"/>
        </w:rPr>
        <w:lastRenderedPageBreak/>
        <w:t>In the AEOS architecture, the Coordination Tax is a </w:t>
      </w:r>
      <w:r w:rsidRPr="002E6607">
        <w:rPr>
          <w:rFonts w:eastAsia="Times New Roman" w:cstheme="minorHAnsi"/>
          <w:b/>
          <w:bCs/>
          <w:color w:val="000000"/>
          <w:kern w:val="0"/>
          <w:sz w:val="20"/>
          <w:szCs w:val="20"/>
          <w14:ligatures w14:val="none"/>
        </w:rPr>
        <w:t>subtracted constraint</w:t>
      </w:r>
      <w:r w:rsidRPr="002E6607">
        <w:rPr>
          <w:rFonts w:eastAsia="Times New Roman" w:cstheme="minorHAnsi"/>
          <w:color w:val="000000"/>
          <w:kern w:val="0"/>
          <w:sz w:val="20"/>
          <w:szCs w:val="20"/>
          <w14:ligatures w14:val="none"/>
        </w:rPr>
        <w:t> in the decision engine. It allows CFOs to identify "process rot" before even applying AI. If a hybrid AI-human path involves too much friction, the "tax" may outweigh the automation benefit.</w:t>
      </w:r>
    </w:p>
    <w:tbl>
      <w:tblPr>
        <w:tblW w:w="1176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57"/>
        <w:gridCol w:w="3352"/>
        <w:gridCol w:w="6651"/>
      </w:tblGrid>
      <w:tr w:rsidR="002E6607" w:rsidRPr="002E6607" w14:paraId="12E51D5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C3D6E02" w14:textId="77777777" w:rsidR="002E6607" w:rsidRPr="002E6607" w:rsidRDefault="002E6607" w:rsidP="002E6607">
            <w:p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color w:val="000000"/>
                <w:kern w:val="0"/>
                <w:sz w:val="20"/>
                <w:szCs w:val="20"/>
                <w14:ligatures w14:val="none"/>
              </w:rPr>
              <w:t>Traditional Metric</w:t>
            </w:r>
          </w:p>
        </w:tc>
        <w:tc>
          <w:tcPr>
            <w:tcW w:w="0" w:type="auto"/>
            <w:tcBorders>
              <w:top w:val="outset" w:sz="6" w:space="0" w:color="auto"/>
              <w:left w:val="outset" w:sz="6" w:space="0" w:color="auto"/>
              <w:bottom w:val="outset" w:sz="6" w:space="0" w:color="auto"/>
              <w:right w:val="outset" w:sz="6" w:space="0" w:color="auto"/>
            </w:tcBorders>
            <w:vAlign w:val="center"/>
            <w:hideMark/>
          </w:tcPr>
          <w:p w14:paraId="4BB204DA" w14:textId="77777777" w:rsidR="002E6607" w:rsidRPr="002E6607" w:rsidRDefault="002E6607" w:rsidP="002E6607">
            <w:p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color w:val="000000"/>
                <w:kern w:val="0"/>
                <w:sz w:val="20"/>
                <w:szCs w:val="20"/>
                <w14:ligatures w14:val="none"/>
              </w:rPr>
              <w:t>Execution Economic Ledger Insight</w:t>
            </w:r>
          </w:p>
        </w:tc>
        <w:tc>
          <w:tcPr>
            <w:tcW w:w="0" w:type="auto"/>
            <w:tcBorders>
              <w:top w:val="outset" w:sz="6" w:space="0" w:color="auto"/>
              <w:left w:val="outset" w:sz="6" w:space="0" w:color="auto"/>
              <w:bottom w:val="outset" w:sz="6" w:space="0" w:color="auto"/>
              <w:right w:val="outset" w:sz="6" w:space="0" w:color="auto"/>
            </w:tcBorders>
            <w:vAlign w:val="center"/>
            <w:hideMark/>
          </w:tcPr>
          <w:p w14:paraId="0770F148" w14:textId="77777777" w:rsidR="002E6607" w:rsidRPr="002E6607" w:rsidRDefault="002E6607" w:rsidP="002E6607">
            <w:p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color w:val="000000"/>
                <w:kern w:val="0"/>
                <w:sz w:val="20"/>
                <w:szCs w:val="20"/>
                <w14:ligatures w14:val="none"/>
              </w:rPr>
              <w:t>Strategic "So What?"</w:t>
            </w:r>
          </w:p>
        </w:tc>
      </w:tr>
      <w:tr w:rsidR="002E6607" w:rsidRPr="002E6607" w14:paraId="02EE5D1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AA45A30" w14:textId="77777777" w:rsidR="002E6607" w:rsidRPr="002E6607" w:rsidRDefault="002E6607" w:rsidP="002E6607">
            <w:p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b/>
                <w:bCs/>
                <w:color w:val="000000"/>
                <w:kern w:val="0"/>
                <w:sz w:val="20"/>
                <w:szCs w:val="20"/>
                <w14:ligatures w14:val="none"/>
              </w:rPr>
              <w:t>API Cost</w:t>
            </w:r>
          </w:p>
        </w:tc>
        <w:tc>
          <w:tcPr>
            <w:tcW w:w="0" w:type="auto"/>
            <w:tcBorders>
              <w:top w:val="outset" w:sz="6" w:space="0" w:color="auto"/>
              <w:left w:val="outset" w:sz="6" w:space="0" w:color="auto"/>
              <w:bottom w:val="outset" w:sz="6" w:space="0" w:color="auto"/>
              <w:right w:val="outset" w:sz="6" w:space="0" w:color="auto"/>
            </w:tcBorders>
            <w:vAlign w:val="center"/>
            <w:hideMark/>
          </w:tcPr>
          <w:p w14:paraId="0E24E8BD" w14:textId="77777777" w:rsidR="002E6607" w:rsidRPr="002E6607" w:rsidRDefault="002E6607" w:rsidP="002E6607">
            <w:p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b/>
                <w:bCs/>
                <w:color w:val="000000"/>
                <w:kern w:val="0"/>
                <w:sz w:val="20"/>
                <w:szCs w:val="20"/>
                <w14:ligatures w14:val="none"/>
              </w:rPr>
              <w:t>Unit Cost of Skill (UCS)</w:t>
            </w:r>
          </w:p>
        </w:tc>
        <w:tc>
          <w:tcPr>
            <w:tcW w:w="0" w:type="auto"/>
            <w:tcBorders>
              <w:top w:val="outset" w:sz="6" w:space="0" w:color="auto"/>
              <w:left w:val="outset" w:sz="6" w:space="0" w:color="auto"/>
              <w:bottom w:val="outset" w:sz="6" w:space="0" w:color="auto"/>
              <w:right w:val="outset" w:sz="6" w:space="0" w:color="auto"/>
            </w:tcBorders>
            <w:vAlign w:val="center"/>
            <w:hideMark/>
          </w:tcPr>
          <w:p w14:paraId="39015388" w14:textId="77777777" w:rsidR="002E6607" w:rsidRPr="002E6607" w:rsidRDefault="002E6607" w:rsidP="002E6607">
            <w:p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color w:val="000000"/>
                <w:kern w:val="0"/>
                <w:sz w:val="20"/>
                <w:szCs w:val="20"/>
                <w14:ligatures w14:val="none"/>
              </w:rPr>
              <w:t>Total cost divided by execution count; the true price of an outcome.</w:t>
            </w:r>
          </w:p>
        </w:tc>
      </w:tr>
      <w:tr w:rsidR="002E6607" w:rsidRPr="002E6607" w14:paraId="77F248F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D75857C" w14:textId="77777777" w:rsidR="002E6607" w:rsidRPr="002E6607" w:rsidRDefault="002E6607" w:rsidP="002E6607">
            <w:p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b/>
                <w:bCs/>
                <w:color w:val="000000"/>
                <w:kern w:val="0"/>
                <w:sz w:val="20"/>
                <w:szCs w:val="20"/>
                <w14:ligatures w14:val="none"/>
              </w:rPr>
              <w:t>Success Rate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708EA8E2" w14:textId="77777777" w:rsidR="002E6607" w:rsidRPr="002E6607" w:rsidRDefault="002E6607" w:rsidP="002E6607">
            <w:p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b/>
                <w:bCs/>
                <w:color w:val="000000"/>
                <w:kern w:val="0"/>
                <w:sz w:val="20"/>
                <w:szCs w:val="20"/>
                <w14:ligatures w14:val="none"/>
              </w:rPr>
              <w:t>Skill Efficiency Ratio (SER)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BF1D7D8" w14:textId="77777777" w:rsidR="002E6607" w:rsidRPr="002E6607" w:rsidRDefault="002E6607" w:rsidP="002E6607">
            <w:p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color w:val="000000"/>
                <w:kern w:val="0"/>
                <w:sz w:val="20"/>
                <w:szCs w:val="20"/>
                <w14:ligatures w14:val="none"/>
              </w:rPr>
              <w:t xml:space="preserve">Yield vs. Unit Cost; measures if the automation is </w:t>
            </w:r>
            <w:proofErr w:type="gramStart"/>
            <w:r w:rsidRPr="002E6607">
              <w:rPr>
                <w:rFonts w:eastAsia="Times New Roman" w:cstheme="minorHAnsi"/>
                <w:color w:val="000000"/>
                <w:kern w:val="0"/>
                <w:sz w:val="20"/>
                <w:szCs w:val="20"/>
                <w14:ligatures w14:val="none"/>
              </w:rPr>
              <w:t>actually productive</w:t>
            </w:r>
            <w:proofErr w:type="gramEnd"/>
            <w:r w:rsidRPr="002E6607">
              <w:rPr>
                <w:rFonts w:eastAsia="Times New Roman" w:cstheme="minorHAnsi"/>
                <w:color w:val="000000"/>
                <w:kern w:val="0"/>
                <w:sz w:val="20"/>
                <w:szCs w:val="20"/>
                <w14:ligatures w14:val="none"/>
              </w:rPr>
              <w:t>.</w:t>
            </w:r>
          </w:p>
        </w:tc>
      </w:tr>
      <w:tr w:rsidR="002E6607" w:rsidRPr="002E6607" w14:paraId="735B024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4E62138" w14:textId="77777777" w:rsidR="002E6607" w:rsidRPr="002E6607" w:rsidRDefault="002E6607" w:rsidP="002E6607">
            <w:p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b/>
                <w:bCs/>
                <w:color w:val="000000"/>
                <w:kern w:val="0"/>
                <w:sz w:val="20"/>
                <w:szCs w:val="20"/>
                <w14:ligatures w14:val="none"/>
              </w:rPr>
              <w:t>Throughput</w:t>
            </w:r>
          </w:p>
        </w:tc>
        <w:tc>
          <w:tcPr>
            <w:tcW w:w="0" w:type="auto"/>
            <w:tcBorders>
              <w:top w:val="outset" w:sz="6" w:space="0" w:color="auto"/>
              <w:left w:val="outset" w:sz="6" w:space="0" w:color="auto"/>
              <w:bottom w:val="outset" w:sz="6" w:space="0" w:color="auto"/>
              <w:right w:val="outset" w:sz="6" w:space="0" w:color="auto"/>
            </w:tcBorders>
            <w:vAlign w:val="center"/>
            <w:hideMark/>
          </w:tcPr>
          <w:p w14:paraId="2B9533FE" w14:textId="77777777" w:rsidR="002E6607" w:rsidRPr="002E6607" w:rsidRDefault="002E6607" w:rsidP="002E6607">
            <w:p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b/>
                <w:bCs/>
                <w:color w:val="000000"/>
                <w:kern w:val="0"/>
                <w:sz w:val="20"/>
                <w:szCs w:val="20"/>
                <w14:ligatures w14:val="none"/>
              </w:rPr>
              <w:t>Hybrid Leverage Rate (HLR)</w:t>
            </w:r>
          </w:p>
        </w:tc>
        <w:tc>
          <w:tcPr>
            <w:tcW w:w="0" w:type="auto"/>
            <w:tcBorders>
              <w:top w:val="outset" w:sz="6" w:space="0" w:color="auto"/>
              <w:left w:val="outset" w:sz="6" w:space="0" w:color="auto"/>
              <w:bottom w:val="outset" w:sz="6" w:space="0" w:color="auto"/>
              <w:right w:val="outset" w:sz="6" w:space="0" w:color="auto"/>
            </w:tcBorders>
            <w:vAlign w:val="center"/>
            <w:hideMark/>
          </w:tcPr>
          <w:p w14:paraId="15F8582A" w14:textId="77777777" w:rsidR="002E6607" w:rsidRPr="002E6607" w:rsidRDefault="002E6607" w:rsidP="002E6607">
            <w:p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color w:val="000000"/>
                <w:kern w:val="0"/>
                <w:sz w:val="20"/>
                <w:szCs w:val="20"/>
                <w14:ligatures w14:val="none"/>
              </w:rPr>
              <w:t>Success-rate improvement of hybrid vs. non-hybrid, scaled by cost.</w:t>
            </w:r>
          </w:p>
        </w:tc>
      </w:tr>
    </w:tbl>
    <w:p w14:paraId="0573080E" w14:textId="77777777" w:rsidR="002E6607" w:rsidRPr="002E6607" w:rsidRDefault="002E6607" w:rsidP="002E6607">
      <w:pPr>
        <w:spacing w:before="100" w:beforeAutospacing="1" w:after="100" w:afterAutospacing="1" w:line="240" w:lineRule="auto"/>
        <w:outlineLvl w:val="1"/>
        <w:rPr>
          <w:rFonts w:eastAsia="Times New Roman" w:cstheme="minorHAnsi"/>
          <w:b/>
          <w:bCs/>
          <w:color w:val="000000"/>
          <w:kern w:val="0"/>
          <w14:ligatures w14:val="none"/>
        </w:rPr>
      </w:pPr>
      <w:r w:rsidRPr="002E6607">
        <w:rPr>
          <w:rFonts w:eastAsia="Times New Roman" w:cstheme="minorHAnsi"/>
          <w:b/>
          <w:bCs/>
          <w:color w:val="000000"/>
          <w:kern w:val="0"/>
          <w14:ligatures w14:val="none"/>
        </w:rPr>
        <w:t>3. Avoiding the "Drift": Protecting Human Strategic Weight</w:t>
      </w:r>
    </w:p>
    <w:p w14:paraId="2908C5A6" w14:textId="77777777" w:rsidR="002E6607" w:rsidRPr="002E6607" w:rsidRDefault="002E6607" w:rsidP="002E6607">
      <w:p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color w:val="000000"/>
          <w:kern w:val="0"/>
          <w:sz w:val="20"/>
          <w:szCs w:val="20"/>
          <w14:ligatures w14:val="none"/>
        </w:rPr>
        <w:t>There is a counter-intuitive "Automation Paradox": if you automate too much, you cause </w:t>
      </w:r>
      <w:r w:rsidRPr="002E6607">
        <w:rPr>
          <w:rFonts w:eastAsia="Times New Roman" w:cstheme="minorHAnsi"/>
          <w:b/>
          <w:bCs/>
          <w:color w:val="000000"/>
          <w:kern w:val="0"/>
          <w:sz w:val="20"/>
          <w:szCs w:val="20"/>
          <w14:ligatures w14:val="none"/>
        </w:rPr>
        <w:t>skill drift</w:t>
      </w:r>
      <w:r w:rsidRPr="002E6607">
        <w:rPr>
          <w:rFonts w:eastAsia="Times New Roman" w:cstheme="minorHAnsi"/>
          <w:color w:val="000000"/>
          <w:kern w:val="0"/>
          <w:sz w:val="20"/>
          <w:szCs w:val="20"/>
          <w14:ligatures w14:val="none"/>
        </w:rPr>
        <w:t>, making the enterprise "dumber" as human capability erodes. The control plane monitors this via the </w:t>
      </w:r>
      <w:r w:rsidRPr="002E6607">
        <w:rPr>
          <w:rFonts w:eastAsia="Times New Roman" w:cstheme="minorHAnsi"/>
          <w:b/>
          <w:bCs/>
          <w:color w:val="000000"/>
          <w:kern w:val="0"/>
          <w:sz w:val="20"/>
          <w:szCs w:val="20"/>
          <w14:ligatures w14:val="none"/>
        </w:rPr>
        <w:t>GSTI (GenAI Suitability Transformation Index)</w:t>
      </w:r>
      <w:r w:rsidRPr="002E6607">
        <w:rPr>
          <w:rFonts w:eastAsia="Times New Roman" w:cstheme="minorHAnsi"/>
          <w:color w:val="000000"/>
          <w:kern w:val="0"/>
          <w:sz w:val="20"/>
          <w:szCs w:val="20"/>
          <w14:ligatures w14:val="none"/>
        </w:rPr>
        <w:t>.</w:t>
      </w:r>
    </w:p>
    <w:p w14:paraId="50932C7F" w14:textId="77777777" w:rsidR="002E6607" w:rsidRPr="002E6607" w:rsidRDefault="002E6607" w:rsidP="002E6607">
      <w:p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color w:val="000000"/>
          <w:kern w:val="0"/>
          <w:sz w:val="20"/>
          <w:szCs w:val="20"/>
          <w14:ligatures w14:val="none"/>
        </w:rPr>
        <w:t>The GSTI formula determines exactly how AI should participate in a task:</w:t>
      </w:r>
    </w:p>
    <w:p w14:paraId="391EF102" w14:textId="77777777" w:rsidR="002E6607" w:rsidRPr="002E6607" w:rsidRDefault="002E6607" w:rsidP="002E6607">
      <w:pPr>
        <w:spacing w:before="100" w:beforeAutospacing="1" w:after="100" w:afterAutospacing="1" w:line="240" w:lineRule="auto"/>
        <w:rPr>
          <w:rFonts w:eastAsia="Times New Roman" w:cstheme="minorHAnsi"/>
          <w:color w:val="000000"/>
          <w:kern w:val="0"/>
          <w:sz w:val="20"/>
          <w:szCs w:val="20"/>
          <w14:ligatures w14:val="none"/>
        </w:rPr>
      </w:pPr>
      <w:proofErr w:type="gramStart"/>
      <w:r w:rsidRPr="002E6607">
        <w:rPr>
          <w:rFonts w:eastAsia="Times New Roman" w:cstheme="minorHAnsi"/>
          <w:color w:val="000000"/>
          <w:kern w:val="0"/>
          <w:sz w:val="15"/>
          <w:szCs w:val="15"/>
          <w14:ligatures w14:val="none"/>
        </w:rPr>
        <w:t>GSTI(</w:t>
      </w:r>
      <w:proofErr w:type="gramEnd"/>
      <w:r w:rsidRPr="002E6607">
        <w:rPr>
          <w:rFonts w:eastAsia="Times New Roman" w:cstheme="minorHAnsi"/>
          <w:color w:val="000000"/>
          <w:kern w:val="0"/>
          <w:sz w:val="15"/>
          <w:szCs w:val="15"/>
          <w14:ligatures w14:val="none"/>
        </w:rPr>
        <w:t>task) = w₁</w:t>
      </w:r>
      <w:proofErr w:type="gramStart"/>
      <w:r w:rsidRPr="002E6607">
        <w:rPr>
          <w:rFonts w:eastAsia="Times New Roman" w:cstheme="minorHAnsi"/>
          <w:color w:val="000000"/>
          <w:kern w:val="0"/>
          <w:sz w:val="15"/>
          <w:szCs w:val="15"/>
          <w14:ligatures w14:val="none"/>
        </w:rPr>
        <w:t>·(</w:t>
      </w:r>
      <w:proofErr w:type="gramEnd"/>
      <w:r w:rsidRPr="002E6607">
        <w:rPr>
          <w:rFonts w:eastAsia="Times New Roman" w:cstheme="minorHAnsi"/>
          <w:color w:val="000000"/>
          <w:kern w:val="0"/>
          <w:sz w:val="15"/>
          <w:szCs w:val="15"/>
          <w14:ligatures w14:val="none"/>
        </w:rPr>
        <w:t>1 − J) + w₂</w:t>
      </w:r>
      <w:proofErr w:type="gramStart"/>
      <w:r w:rsidRPr="002E6607">
        <w:rPr>
          <w:rFonts w:eastAsia="Times New Roman" w:cstheme="minorHAnsi"/>
          <w:color w:val="000000"/>
          <w:kern w:val="0"/>
          <w:sz w:val="15"/>
          <w:szCs w:val="15"/>
          <w14:ligatures w14:val="none"/>
        </w:rPr>
        <w:t>·(</w:t>
      </w:r>
      <w:proofErr w:type="gramEnd"/>
      <w:r w:rsidRPr="002E6607">
        <w:rPr>
          <w:rFonts w:eastAsia="Times New Roman" w:cstheme="minorHAnsi"/>
          <w:color w:val="000000"/>
          <w:kern w:val="0"/>
          <w:sz w:val="15"/>
          <w:szCs w:val="15"/>
          <w14:ligatures w14:val="none"/>
        </w:rPr>
        <w:t>1 − V) + w₃·F + w₄·D − w₅·R</w:t>
      </w:r>
      <w:r w:rsidRPr="002E6607">
        <w:rPr>
          <w:rFonts w:eastAsia="Times New Roman" w:cstheme="minorHAnsi"/>
          <w:color w:val="000000"/>
          <w:kern w:val="0"/>
          <w:sz w:val="20"/>
          <w:szCs w:val="20"/>
          <w14:ligatures w14:val="none"/>
        </w:rPr>
        <w:t> </w:t>
      </w:r>
      <w:r w:rsidRPr="002E6607">
        <w:rPr>
          <w:rFonts w:eastAsia="Times New Roman" w:cstheme="minorHAnsi"/>
          <w:i/>
          <w:iCs/>
          <w:color w:val="000000"/>
          <w:kern w:val="0"/>
          <w:sz w:val="20"/>
          <w:szCs w:val="20"/>
          <w14:ligatures w14:val="none"/>
        </w:rPr>
        <w:t>(J=Judgment, V=Variability, F=Frequency, D=Data, R=Risk)</w:t>
      </w:r>
    </w:p>
    <w:p w14:paraId="7310B0A4" w14:textId="77777777" w:rsidR="002E6607" w:rsidRPr="002E6607" w:rsidRDefault="002E6607" w:rsidP="002E6607">
      <w:p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color w:val="000000"/>
          <w:kern w:val="0"/>
          <w:sz w:val="20"/>
          <w:szCs w:val="20"/>
          <w14:ligatures w14:val="none"/>
        </w:rPr>
        <w:t>Unlike static models, this is a </w:t>
      </w:r>
      <w:r w:rsidRPr="002E6607">
        <w:rPr>
          <w:rFonts w:eastAsia="Times New Roman" w:cstheme="minorHAnsi"/>
          <w:b/>
          <w:bCs/>
          <w:color w:val="000000"/>
          <w:kern w:val="0"/>
          <w:sz w:val="20"/>
          <w:szCs w:val="20"/>
          <w14:ligatures w14:val="none"/>
        </w:rPr>
        <w:t>calibrated instrument</w:t>
      </w:r>
      <w:r w:rsidRPr="002E6607">
        <w:rPr>
          <w:rFonts w:eastAsia="Times New Roman" w:cstheme="minorHAnsi"/>
          <w:color w:val="000000"/>
          <w:kern w:val="0"/>
          <w:sz w:val="20"/>
          <w:szCs w:val="20"/>
          <w14:ligatures w14:val="none"/>
        </w:rPr>
        <w:t>. In Healthcare, the system emphasizes Risk (w₅) at 0.35; in Legal or Professional Services, it emphasizes Judgment (w₁) at 0.40. This enables </w:t>
      </w:r>
      <w:r w:rsidRPr="002E6607">
        <w:rPr>
          <w:rFonts w:eastAsia="Times New Roman" w:cstheme="minorHAnsi"/>
          <w:b/>
          <w:bCs/>
          <w:color w:val="000000"/>
          <w:kern w:val="0"/>
          <w:sz w:val="20"/>
          <w:szCs w:val="20"/>
          <w14:ligatures w14:val="none"/>
        </w:rPr>
        <w:t>Dynamic Capability Gating</w:t>
      </w:r>
      <w:r w:rsidRPr="002E6607">
        <w:rPr>
          <w:rFonts w:eastAsia="Times New Roman" w:cstheme="minorHAnsi"/>
          <w:color w:val="000000"/>
          <w:kern w:val="0"/>
          <w:sz w:val="20"/>
          <w:szCs w:val="20"/>
          <w14:ligatures w14:val="none"/>
        </w:rPr>
        <w:t>. If the system detects that human strategic capability is drifting below a threshold, it generates a </w:t>
      </w:r>
      <w:r w:rsidRPr="002E6607">
        <w:rPr>
          <w:rFonts w:eastAsia="Times New Roman" w:cstheme="minorHAnsi"/>
          <w:b/>
          <w:bCs/>
          <w:color w:val="000000"/>
          <w:kern w:val="0"/>
          <w:sz w:val="20"/>
          <w:szCs w:val="20"/>
          <w14:ligatures w14:val="none"/>
        </w:rPr>
        <w:t xml:space="preserve">negative </w:t>
      </w:r>
      <w:proofErr w:type="spellStart"/>
      <w:r w:rsidRPr="002E6607">
        <w:rPr>
          <w:rFonts w:eastAsia="Times New Roman" w:cstheme="minorHAnsi"/>
          <w:b/>
          <w:bCs/>
          <w:color w:val="000000"/>
          <w:kern w:val="0"/>
          <w:sz w:val="20"/>
          <w:szCs w:val="20"/>
          <w14:ligatures w14:val="none"/>
        </w:rPr>
        <w:t>gsti_delta</w:t>
      </w:r>
      <w:proofErr w:type="spellEnd"/>
      <w:r w:rsidRPr="002E6607">
        <w:rPr>
          <w:rFonts w:eastAsia="Times New Roman" w:cstheme="minorHAnsi"/>
          <w:color w:val="000000"/>
          <w:kern w:val="0"/>
          <w:sz w:val="20"/>
          <w:szCs w:val="20"/>
          <w14:ligatures w14:val="none"/>
        </w:rPr>
        <w:t> and automatically forces humans back into the loop—shifting from "AI-Primary" back to "Human-AI Hybrid" to preserve the enterprise’s intellectual capital.</w:t>
      </w:r>
    </w:p>
    <w:p w14:paraId="62557864" w14:textId="77777777" w:rsidR="002E6607" w:rsidRPr="002E6607" w:rsidRDefault="002E6607" w:rsidP="002E6607">
      <w:pPr>
        <w:spacing w:before="100" w:beforeAutospacing="1" w:after="100" w:afterAutospacing="1" w:line="240" w:lineRule="auto"/>
        <w:outlineLvl w:val="1"/>
        <w:rPr>
          <w:rFonts w:eastAsia="Times New Roman" w:cstheme="minorHAnsi"/>
          <w:b/>
          <w:bCs/>
          <w:color w:val="000000"/>
          <w:kern w:val="0"/>
          <w14:ligatures w14:val="none"/>
        </w:rPr>
      </w:pPr>
      <w:r w:rsidRPr="002E6607">
        <w:rPr>
          <w:rFonts w:eastAsia="Times New Roman" w:cstheme="minorHAnsi"/>
          <w:b/>
          <w:bCs/>
          <w:color w:val="000000"/>
          <w:kern w:val="0"/>
          <w14:ligatures w14:val="none"/>
        </w:rPr>
        <w:t xml:space="preserve">4. Every Execution is a Ledger Entry, </w:t>
      </w:r>
      <w:proofErr w:type="gramStart"/>
      <w:r w:rsidRPr="002E6607">
        <w:rPr>
          <w:rFonts w:eastAsia="Times New Roman" w:cstheme="minorHAnsi"/>
          <w:b/>
          <w:bCs/>
          <w:color w:val="000000"/>
          <w:kern w:val="0"/>
          <w14:ligatures w14:val="none"/>
        </w:rPr>
        <w:t>Not</w:t>
      </w:r>
      <w:proofErr w:type="gramEnd"/>
      <w:r w:rsidRPr="002E6607">
        <w:rPr>
          <w:rFonts w:eastAsia="Times New Roman" w:cstheme="minorHAnsi"/>
          <w:b/>
          <w:bCs/>
          <w:color w:val="000000"/>
          <w:kern w:val="0"/>
          <w14:ligatures w14:val="none"/>
        </w:rPr>
        <w:t xml:space="preserve"> a Log</w:t>
      </w:r>
    </w:p>
    <w:p w14:paraId="03F87511" w14:textId="77777777" w:rsidR="002E6607" w:rsidRPr="002E6607" w:rsidRDefault="002E6607" w:rsidP="002E6607">
      <w:p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color w:val="000000"/>
          <w:kern w:val="0"/>
          <w:sz w:val="20"/>
          <w:szCs w:val="20"/>
          <w14:ligatures w14:val="none"/>
        </w:rPr>
        <w:t>In the control plane era, we move from "technical logs" (recording what happened) to an </w:t>
      </w:r>
      <w:r w:rsidRPr="002E6607">
        <w:rPr>
          <w:rFonts w:eastAsia="Times New Roman" w:cstheme="minorHAnsi"/>
          <w:b/>
          <w:bCs/>
          <w:color w:val="000000"/>
          <w:kern w:val="0"/>
          <w:sz w:val="20"/>
          <w:szCs w:val="20"/>
          <w14:ligatures w14:val="none"/>
        </w:rPr>
        <w:t xml:space="preserve">Execution Economic </w:t>
      </w:r>
      <w:proofErr w:type="gramStart"/>
      <w:r w:rsidRPr="002E6607">
        <w:rPr>
          <w:rFonts w:eastAsia="Times New Roman" w:cstheme="minorHAnsi"/>
          <w:b/>
          <w:bCs/>
          <w:color w:val="000000"/>
          <w:kern w:val="0"/>
          <w:sz w:val="20"/>
          <w:szCs w:val="20"/>
          <w14:ligatures w14:val="none"/>
        </w:rPr>
        <w:t>Ledger</w:t>
      </w:r>
      <w:r w:rsidRPr="002E6607">
        <w:rPr>
          <w:rFonts w:eastAsia="Times New Roman" w:cstheme="minorHAnsi"/>
          <w:color w:val="000000"/>
          <w:kern w:val="0"/>
          <w:sz w:val="20"/>
          <w:szCs w:val="20"/>
          <w14:ligatures w14:val="none"/>
        </w:rPr>
        <w:t>(</w:t>
      </w:r>
      <w:proofErr w:type="gramEnd"/>
      <w:r w:rsidRPr="002E6607">
        <w:rPr>
          <w:rFonts w:eastAsia="Times New Roman" w:cstheme="minorHAnsi"/>
          <w:color w:val="000000"/>
          <w:kern w:val="0"/>
          <w:sz w:val="20"/>
          <w:szCs w:val="20"/>
          <w14:ligatures w14:val="none"/>
        </w:rPr>
        <w:t>recording what it cost the enterprise). This ledger is a closed-loop system that calculates three critical deltas for every execution:</w:t>
      </w:r>
    </w:p>
    <w:p w14:paraId="6DAFAD64" w14:textId="77777777" w:rsidR="002E6607" w:rsidRPr="002E6607" w:rsidRDefault="002E6607" w:rsidP="002E6607">
      <w:pPr>
        <w:numPr>
          <w:ilvl w:val="0"/>
          <w:numId w:val="2"/>
        </w:numPr>
        <w:spacing w:before="100" w:beforeAutospacing="1" w:after="100" w:afterAutospacing="1" w:line="240" w:lineRule="auto"/>
        <w:rPr>
          <w:rFonts w:eastAsia="Times New Roman" w:cstheme="minorHAnsi"/>
          <w:color w:val="000000"/>
          <w:kern w:val="0"/>
          <w:sz w:val="20"/>
          <w:szCs w:val="20"/>
          <w14:ligatures w14:val="none"/>
        </w:rPr>
      </w:pPr>
      <w:proofErr w:type="spellStart"/>
      <w:r w:rsidRPr="002E6607">
        <w:rPr>
          <w:rFonts w:eastAsia="Times New Roman" w:cstheme="minorHAnsi"/>
          <w:b/>
          <w:bCs/>
          <w:color w:val="000000"/>
          <w:kern w:val="0"/>
          <w:sz w:val="20"/>
          <w:szCs w:val="20"/>
          <w14:ligatures w14:val="none"/>
        </w:rPr>
        <w:t>gsti_delta</w:t>
      </w:r>
      <w:proofErr w:type="spellEnd"/>
      <w:r w:rsidRPr="002E6607">
        <w:rPr>
          <w:rFonts w:eastAsia="Times New Roman" w:cstheme="minorHAnsi"/>
          <w:b/>
          <w:bCs/>
          <w:color w:val="000000"/>
          <w:kern w:val="0"/>
          <w:sz w:val="20"/>
          <w:szCs w:val="20"/>
          <w14:ligatures w14:val="none"/>
        </w:rPr>
        <w:t>:</w:t>
      </w:r>
      <w:r w:rsidRPr="002E6607">
        <w:rPr>
          <w:rFonts w:eastAsia="Times New Roman" w:cstheme="minorHAnsi"/>
          <w:color w:val="000000"/>
          <w:kern w:val="0"/>
          <w:sz w:val="20"/>
          <w:szCs w:val="20"/>
          <w14:ligatures w14:val="none"/>
        </w:rPr>
        <w:t> The change in the strategic weight/preservation of the skill.</w:t>
      </w:r>
    </w:p>
    <w:p w14:paraId="079BD995" w14:textId="77777777" w:rsidR="002E6607" w:rsidRPr="002E6607" w:rsidRDefault="002E6607" w:rsidP="002E6607">
      <w:pPr>
        <w:numPr>
          <w:ilvl w:val="0"/>
          <w:numId w:val="2"/>
        </w:numPr>
        <w:spacing w:before="100" w:beforeAutospacing="1" w:after="100" w:afterAutospacing="1" w:line="240" w:lineRule="auto"/>
        <w:rPr>
          <w:rFonts w:eastAsia="Times New Roman" w:cstheme="minorHAnsi"/>
          <w:color w:val="000000"/>
          <w:kern w:val="0"/>
          <w:sz w:val="20"/>
          <w:szCs w:val="20"/>
          <w14:ligatures w14:val="none"/>
        </w:rPr>
      </w:pPr>
      <w:proofErr w:type="spellStart"/>
      <w:r w:rsidRPr="002E6607">
        <w:rPr>
          <w:rFonts w:eastAsia="Times New Roman" w:cstheme="minorHAnsi"/>
          <w:b/>
          <w:bCs/>
          <w:color w:val="000000"/>
          <w:kern w:val="0"/>
          <w:sz w:val="20"/>
          <w:szCs w:val="20"/>
          <w14:ligatures w14:val="none"/>
        </w:rPr>
        <w:t>uop_delta</w:t>
      </w:r>
      <w:proofErr w:type="spellEnd"/>
      <w:r w:rsidRPr="002E6607">
        <w:rPr>
          <w:rFonts w:eastAsia="Times New Roman" w:cstheme="minorHAnsi"/>
          <w:b/>
          <w:bCs/>
          <w:color w:val="000000"/>
          <w:kern w:val="0"/>
          <w:sz w:val="20"/>
          <w:szCs w:val="20"/>
          <w14:ligatures w14:val="none"/>
        </w:rPr>
        <w:t>:</w:t>
      </w:r>
      <w:r w:rsidRPr="002E6607">
        <w:rPr>
          <w:rFonts w:eastAsia="Times New Roman" w:cstheme="minorHAnsi"/>
          <w:color w:val="000000"/>
          <w:kern w:val="0"/>
          <w:sz w:val="20"/>
          <w:szCs w:val="20"/>
          <w14:ligatures w14:val="none"/>
        </w:rPr>
        <w:t> The change in readiness or fatigue for the human actor involved.</w:t>
      </w:r>
    </w:p>
    <w:p w14:paraId="00F6CD2C" w14:textId="77777777" w:rsidR="002E6607" w:rsidRPr="002E6607" w:rsidRDefault="002E6607" w:rsidP="002E6607">
      <w:pPr>
        <w:numPr>
          <w:ilvl w:val="0"/>
          <w:numId w:val="2"/>
        </w:numPr>
        <w:spacing w:before="100" w:beforeAutospacing="1" w:after="100" w:afterAutospacing="1" w:line="240" w:lineRule="auto"/>
        <w:rPr>
          <w:rFonts w:eastAsia="Times New Roman" w:cstheme="minorHAnsi"/>
          <w:color w:val="000000"/>
          <w:kern w:val="0"/>
          <w:sz w:val="20"/>
          <w:szCs w:val="20"/>
          <w14:ligatures w14:val="none"/>
        </w:rPr>
      </w:pPr>
      <w:proofErr w:type="spellStart"/>
      <w:r w:rsidRPr="002E6607">
        <w:rPr>
          <w:rFonts w:eastAsia="Times New Roman" w:cstheme="minorHAnsi"/>
          <w:b/>
          <w:bCs/>
          <w:color w:val="000000"/>
          <w:kern w:val="0"/>
          <w:sz w:val="20"/>
          <w:szCs w:val="20"/>
          <w14:ligatures w14:val="none"/>
        </w:rPr>
        <w:t>coordination_delta</w:t>
      </w:r>
      <w:proofErr w:type="spellEnd"/>
      <w:r w:rsidRPr="002E6607">
        <w:rPr>
          <w:rFonts w:eastAsia="Times New Roman" w:cstheme="minorHAnsi"/>
          <w:b/>
          <w:bCs/>
          <w:color w:val="000000"/>
          <w:kern w:val="0"/>
          <w:sz w:val="20"/>
          <w:szCs w:val="20"/>
          <w14:ligatures w14:val="none"/>
        </w:rPr>
        <w:t>:</w:t>
      </w:r>
      <w:r w:rsidRPr="002E6607">
        <w:rPr>
          <w:rFonts w:eastAsia="Times New Roman" w:cstheme="minorHAnsi"/>
          <w:color w:val="000000"/>
          <w:kern w:val="0"/>
          <w:sz w:val="20"/>
          <w:szCs w:val="20"/>
          <w14:ligatures w14:val="none"/>
        </w:rPr>
        <w:t> The difference between forecast and realized friction.</w:t>
      </w:r>
    </w:p>
    <w:p w14:paraId="1729D2A0" w14:textId="77777777" w:rsidR="002E6607" w:rsidRPr="002E6607" w:rsidRDefault="002E6607" w:rsidP="002E6607">
      <w:p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color w:val="000000"/>
          <w:kern w:val="0"/>
          <w:sz w:val="20"/>
          <w:szCs w:val="20"/>
          <w14:ligatures w14:val="none"/>
        </w:rPr>
        <w:t>The strategic moat here is </w:t>
      </w:r>
      <w:r w:rsidRPr="002E6607">
        <w:rPr>
          <w:rFonts w:eastAsia="Times New Roman" w:cstheme="minorHAnsi"/>
          <w:b/>
          <w:bCs/>
          <w:color w:val="000000"/>
          <w:kern w:val="0"/>
          <w:sz w:val="20"/>
          <w:szCs w:val="20"/>
          <w14:ligatures w14:val="none"/>
        </w:rPr>
        <w:t>neutrality</w:t>
      </w:r>
      <w:r w:rsidRPr="002E6607">
        <w:rPr>
          <w:rFonts w:eastAsia="Times New Roman" w:cstheme="minorHAnsi"/>
          <w:color w:val="000000"/>
          <w:kern w:val="0"/>
          <w:sz w:val="20"/>
          <w:szCs w:val="20"/>
          <w14:ligatures w14:val="none"/>
        </w:rPr>
        <w:t>. As the source material notes: </w:t>
      </w:r>
      <w:r w:rsidRPr="002E6607">
        <w:rPr>
          <w:rFonts w:eastAsia="Times New Roman" w:cstheme="minorHAnsi"/>
          <w:b/>
          <w:bCs/>
          <w:color w:val="000000"/>
          <w:kern w:val="0"/>
          <w:sz w:val="20"/>
          <w:szCs w:val="20"/>
          <w14:ligatures w14:val="none"/>
        </w:rPr>
        <w:t>"Anthropic cannot measure the economic value of an OpenAI execution."</w:t>
      </w:r>
      <w:r w:rsidRPr="002E6607">
        <w:rPr>
          <w:rFonts w:eastAsia="Times New Roman" w:cstheme="minorHAnsi"/>
          <w:color w:val="000000"/>
          <w:kern w:val="0"/>
          <w:sz w:val="20"/>
          <w:szCs w:val="20"/>
          <w14:ligatures w14:val="none"/>
        </w:rPr>
        <w:t> A runtime vendor cannot see its competitors' outcomes, meaning it can never build a complete model of your workforce. Only a neutral control plane sees the state of the workforce across every vendor simultaneously.</w:t>
      </w:r>
    </w:p>
    <w:p w14:paraId="3A81FC19" w14:textId="77777777" w:rsidR="002E6607" w:rsidRPr="002E6607" w:rsidRDefault="002E6607" w:rsidP="002E6607">
      <w:pPr>
        <w:spacing w:before="100" w:beforeAutospacing="1" w:after="100" w:afterAutospacing="1" w:line="240" w:lineRule="auto"/>
        <w:outlineLvl w:val="1"/>
        <w:rPr>
          <w:rFonts w:eastAsia="Times New Roman" w:cstheme="minorHAnsi"/>
          <w:b/>
          <w:bCs/>
          <w:color w:val="000000"/>
          <w:kern w:val="0"/>
          <w14:ligatures w14:val="none"/>
        </w:rPr>
      </w:pPr>
      <w:r w:rsidRPr="002E6607">
        <w:rPr>
          <w:rFonts w:eastAsia="Times New Roman" w:cstheme="minorHAnsi"/>
          <w:b/>
          <w:bCs/>
          <w:color w:val="000000"/>
          <w:kern w:val="0"/>
          <w14:ligatures w14:val="none"/>
        </w:rPr>
        <w:t>5. The "Boundary" is the New Governance Center of Gravity</w:t>
      </w:r>
    </w:p>
    <w:p w14:paraId="27B1245C" w14:textId="77777777" w:rsidR="002E6607" w:rsidRPr="002E6607" w:rsidRDefault="002E6607" w:rsidP="002E6607">
      <w:p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color w:val="000000"/>
          <w:kern w:val="0"/>
          <w:sz w:val="20"/>
          <w:szCs w:val="20"/>
          <w14:ligatures w14:val="none"/>
        </w:rPr>
        <w:t>The </w:t>
      </w:r>
      <w:r w:rsidRPr="002E6607">
        <w:rPr>
          <w:rFonts w:eastAsia="Times New Roman" w:cstheme="minorHAnsi"/>
          <w:b/>
          <w:bCs/>
          <w:color w:val="000000"/>
          <w:kern w:val="0"/>
          <w:sz w:val="20"/>
          <w:szCs w:val="20"/>
          <w14:ligatures w14:val="none"/>
        </w:rPr>
        <w:t>Integration Abstraction Layer</w:t>
      </w:r>
      <w:r w:rsidRPr="002E6607">
        <w:rPr>
          <w:rFonts w:eastAsia="Times New Roman" w:cstheme="minorHAnsi"/>
          <w:color w:val="000000"/>
          <w:kern w:val="0"/>
          <w:sz w:val="20"/>
          <w:szCs w:val="20"/>
          <w14:ligatures w14:val="none"/>
        </w:rPr>
        <w:t> is the "Moat of Neutrality." Enterprises will never trust an AI vendor to govern itself or its competitors. Within a single Fortune 500, the same vendor (e.g., Anthropic) may have four different </w:t>
      </w:r>
      <w:proofErr w:type="spellStart"/>
      <w:r w:rsidRPr="002E6607">
        <w:rPr>
          <w:rFonts w:eastAsia="Times New Roman" w:cstheme="minorHAnsi"/>
          <w:b/>
          <w:bCs/>
          <w:color w:val="000000"/>
          <w:kern w:val="0"/>
          <w:sz w:val="20"/>
          <w:szCs w:val="20"/>
          <w14:ligatures w14:val="none"/>
        </w:rPr>
        <w:t>Boundaries</w:t>
      </w:r>
      <w:r w:rsidRPr="002E6607">
        <w:rPr>
          <w:rFonts w:eastAsia="Times New Roman" w:cstheme="minorHAnsi"/>
          <w:color w:val="000000"/>
          <w:kern w:val="0"/>
          <w:sz w:val="20"/>
          <w:szCs w:val="20"/>
          <w14:ligatures w14:val="none"/>
        </w:rPr>
        <w:t>with</w:t>
      </w:r>
      <w:proofErr w:type="spellEnd"/>
      <w:r w:rsidRPr="002E6607">
        <w:rPr>
          <w:rFonts w:eastAsia="Times New Roman" w:cstheme="minorHAnsi"/>
          <w:color w:val="000000"/>
          <w:kern w:val="0"/>
          <w:sz w:val="20"/>
          <w:szCs w:val="20"/>
          <w14:ligatures w14:val="none"/>
        </w:rPr>
        <w:t xml:space="preserve"> entirely different rules:</w:t>
      </w:r>
    </w:p>
    <w:p w14:paraId="51CCB46A" w14:textId="77777777" w:rsidR="002E6607" w:rsidRPr="002E6607" w:rsidRDefault="002E6607" w:rsidP="002E6607">
      <w:pPr>
        <w:numPr>
          <w:ilvl w:val="0"/>
          <w:numId w:val="3"/>
        </w:num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b/>
          <w:bCs/>
          <w:color w:val="000000"/>
          <w:kern w:val="0"/>
          <w:sz w:val="20"/>
          <w:szCs w:val="20"/>
          <w14:ligatures w14:val="none"/>
        </w:rPr>
        <w:t>Boundary A (US):</w:t>
      </w:r>
      <w:r w:rsidRPr="002E6607">
        <w:rPr>
          <w:rFonts w:eastAsia="Times New Roman" w:cstheme="minorHAnsi"/>
          <w:color w:val="000000"/>
          <w:kern w:val="0"/>
          <w:sz w:val="20"/>
          <w:szCs w:val="20"/>
          <w14:ligatures w14:val="none"/>
        </w:rPr>
        <w:t> SOC 2 regulated with a $50k autonomous decision cap.</w:t>
      </w:r>
    </w:p>
    <w:p w14:paraId="35321BED" w14:textId="77777777" w:rsidR="002E6607" w:rsidRPr="002E6607" w:rsidRDefault="002E6607" w:rsidP="002E6607">
      <w:pPr>
        <w:numPr>
          <w:ilvl w:val="0"/>
          <w:numId w:val="3"/>
        </w:num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b/>
          <w:bCs/>
          <w:color w:val="000000"/>
          <w:kern w:val="0"/>
          <w:sz w:val="20"/>
          <w:szCs w:val="20"/>
          <w14:ligatures w14:val="none"/>
        </w:rPr>
        <w:t>Boundary B (EU):</w:t>
      </w:r>
      <w:r w:rsidRPr="002E6607">
        <w:rPr>
          <w:rFonts w:eastAsia="Times New Roman" w:cstheme="minorHAnsi"/>
          <w:color w:val="000000"/>
          <w:kern w:val="0"/>
          <w:sz w:val="20"/>
          <w:szCs w:val="20"/>
          <w14:ligatures w14:val="none"/>
        </w:rPr>
        <w:t> EU AI Act compliant with mandatory human sign-off.</w:t>
      </w:r>
    </w:p>
    <w:p w14:paraId="5E662FA2" w14:textId="77777777" w:rsidR="002E6607" w:rsidRPr="002E6607" w:rsidRDefault="002E6607" w:rsidP="002E6607">
      <w:pPr>
        <w:numPr>
          <w:ilvl w:val="0"/>
          <w:numId w:val="3"/>
        </w:num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b/>
          <w:bCs/>
          <w:color w:val="000000"/>
          <w:kern w:val="0"/>
          <w:sz w:val="20"/>
          <w:szCs w:val="20"/>
          <w14:ligatures w14:val="none"/>
        </w:rPr>
        <w:t>Boundary C (Sandbox):</w:t>
      </w:r>
      <w:r w:rsidRPr="002E6607">
        <w:rPr>
          <w:rFonts w:eastAsia="Times New Roman" w:cstheme="minorHAnsi"/>
          <w:color w:val="000000"/>
          <w:kern w:val="0"/>
          <w:sz w:val="20"/>
          <w:szCs w:val="20"/>
          <w14:ligatures w14:val="none"/>
        </w:rPr>
        <w:t> A low-trust, internal-only development zone.</w:t>
      </w:r>
    </w:p>
    <w:p w14:paraId="113E4035" w14:textId="77777777" w:rsidR="002E6607" w:rsidRPr="002E6607" w:rsidRDefault="002E6607" w:rsidP="002E6607">
      <w:pPr>
        <w:numPr>
          <w:ilvl w:val="0"/>
          <w:numId w:val="3"/>
        </w:num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b/>
          <w:bCs/>
          <w:color w:val="000000"/>
          <w:kern w:val="0"/>
          <w:sz w:val="20"/>
          <w:szCs w:val="20"/>
          <w14:ligatures w14:val="none"/>
        </w:rPr>
        <w:lastRenderedPageBreak/>
        <w:t>Boundary D (APAC):</w:t>
      </w:r>
      <w:r w:rsidRPr="002E6607">
        <w:rPr>
          <w:rFonts w:eastAsia="Times New Roman" w:cstheme="minorHAnsi"/>
          <w:color w:val="000000"/>
          <w:kern w:val="0"/>
          <w:sz w:val="20"/>
          <w:szCs w:val="20"/>
          <w14:ligatures w14:val="none"/>
        </w:rPr>
        <w:t> Data-localization restricted with region-specific endpoints.</w:t>
      </w:r>
    </w:p>
    <w:p w14:paraId="1C31E961" w14:textId="77777777" w:rsidR="002E6607" w:rsidRPr="002E6607" w:rsidRDefault="002E6607" w:rsidP="002E6607">
      <w:p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color w:val="000000"/>
          <w:kern w:val="0"/>
          <w:sz w:val="20"/>
          <w:szCs w:val="20"/>
          <w14:ligatures w14:val="none"/>
        </w:rPr>
        <w:t>The same API running through different Boundaries behaves differently because the control plane modulates the prompts and constraints based on jurisdictional policy packs. Key elements enforced at the Boundary include:</w:t>
      </w:r>
    </w:p>
    <w:p w14:paraId="41D2E396" w14:textId="77777777" w:rsidR="002E6607" w:rsidRPr="002E6607" w:rsidRDefault="002E6607" w:rsidP="002E6607">
      <w:pPr>
        <w:numPr>
          <w:ilvl w:val="0"/>
          <w:numId w:val="4"/>
        </w:num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color w:val="000000"/>
          <w:kern w:val="0"/>
          <w:sz w:val="20"/>
          <w:szCs w:val="20"/>
          <w14:ligatures w14:val="none"/>
        </w:rPr>
        <w:t>Trust tiers and data residency requirements.</w:t>
      </w:r>
    </w:p>
    <w:p w14:paraId="5271D7EB" w14:textId="77777777" w:rsidR="002E6607" w:rsidRPr="002E6607" w:rsidRDefault="002E6607" w:rsidP="002E6607">
      <w:pPr>
        <w:numPr>
          <w:ilvl w:val="0"/>
          <w:numId w:val="4"/>
        </w:num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color w:val="000000"/>
          <w:kern w:val="0"/>
          <w:sz w:val="20"/>
          <w:szCs w:val="20"/>
          <w14:ligatures w14:val="none"/>
        </w:rPr>
        <w:t>Allowed and excluded skill lists per jurisdiction.</w:t>
      </w:r>
    </w:p>
    <w:p w14:paraId="747537D2" w14:textId="77777777" w:rsidR="002E6607" w:rsidRPr="002E6607" w:rsidRDefault="002E6607" w:rsidP="002E6607">
      <w:pPr>
        <w:numPr>
          <w:ilvl w:val="0"/>
          <w:numId w:val="4"/>
        </w:num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color w:val="000000"/>
          <w:kern w:val="0"/>
          <w:sz w:val="20"/>
          <w:szCs w:val="20"/>
          <w14:ligatures w14:val="none"/>
        </w:rPr>
        <w:t>Max autonomous value caps to prevent "runaway" agent spending.</w:t>
      </w:r>
    </w:p>
    <w:p w14:paraId="4FEB713E" w14:textId="77777777" w:rsidR="002E6607" w:rsidRPr="002E6607" w:rsidRDefault="002E6607" w:rsidP="002E6607">
      <w:pPr>
        <w:spacing w:before="100" w:beforeAutospacing="1" w:after="100" w:afterAutospacing="1" w:line="240" w:lineRule="auto"/>
        <w:outlineLvl w:val="1"/>
        <w:rPr>
          <w:rFonts w:eastAsia="Times New Roman" w:cstheme="minorHAnsi"/>
          <w:b/>
          <w:bCs/>
          <w:color w:val="000000"/>
          <w:kern w:val="0"/>
          <w14:ligatures w14:val="none"/>
        </w:rPr>
      </w:pPr>
      <w:r w:rsidRPr="002E6607">
        <w:rPr>
          <w:rFonts w:eastAsia="Times New Roman" w:cstheme="minorHAnsi"/>
          <w:b/>
          <w:bCs/>
          <w:color w:val="000000"/>
          <w:kern w:val="0"/>
          <w14:ligatures w14:val="none"/>
        </w:rPr>
        <w:t>Conclusion: The Enterprise Autonomy Index</w:t>
      </w:r>
    </w:p>
    <w:p w14:paraId="16643E67" w14:textId="77777777" w:rsidR="002E6607" w:rsidRPr="002E6607" w:rsidRDefault="002E6607" w:rsidP="002E6607">
      <w:p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color w:val="000000"/>
          <w:kern w:val="0"/>
          <w:sz w:val="20"/>
          <w:szCs w:val="20"/>
          <w14:ligatures w14:val="none"/>
        </w:rPr>
        <w:t>The "End Game" for the agentic enterprise is the </w:t>
      </w:r>
      <w:r w:rsidRPr="002E6607">
        <w:rPr>
          <w:rFonts w:eastAsia="Times New Roman" w:cstheme="minorHAnsi"/>
          <w:b/>
          <w:bCs/>
          <w:color w:val="000000"/>
          <w:kern w:val="0"/>
          <w:sz w:val="20"/>
          <w:szCs w:val="20"/>
          <w14:ligatures w14:val="none"/>
        </w:rPr>
        <w:t>Enterprise Autonomy Index (EAI)</w:t>
      </w:r>
      <w:r w:rsidRPr="002E6607">
        <w:rPr>
          <w:rFonts w:eastAsia="Times New Roman" w:cstheme="minorHAnsi"/>
          <w:color w:val="000000"/>
          <w:kern w:val="0"/>
          <w:sz w:val="20"/>
          <w:szCs w:val="20"/>
          <w14:ligatures w14:val="none"/>
        </w:rPr>
        <w:t xml:space="preserve">. This is a quarterly, board-level attestation jointly signed by </w:t>
      </w:r>
      <w:proofErr w:type="spellStart"/>
      <w:r w:rsidRPr="002E6607">
        <w:rPr>
          <w:rFonts w:eastAsia="Times New Roman" w:cstheme="minorHAnsi"/>
          <w:color w:val="000000"/>
          <w:kern w:val="0"/>
          <w:sz w:val="20"/>
          <w:szCs w:val="20"/>
          <w14:ligatures w14:val="none"/>
        </w:rPr>
        <w:t>FuzeBox</w:t>
      </w:r>
      <w:proofErr w:type="spellEnd"/>
      <w:r w:rsidRPr="002E6607">
        <w:rPr>
          <w:rFonts w:eastAsia="Times New Roman" w:cstheme="minorHAnsi"/>
          <w:color w:val="000000"/>
          <w:kern w:val="0"/>
          <w:sz w:val="20"/>
          <w:szCs w:val="20"/>
          <w14:ligatures w14:val="none"/>
        </w:rPr>
        <w:t xml:space="preserve"> and </w:t>
      </w:r>
      <w:proofErr w:type="spellStart"/>
      <w:r w:rsidRPr="002E6607">
        <w:rPr>
          <w:rFonts w:eastAsia="Times New Roman" w:cstheme="minorHAnsi"/>
          <w:color w:val="000000"/>
          <w:kern w:val="0"/>
          <w:sz w:val="20"/>
          <w:szCs w:val="20"/>
          <w14:ligatures w14:val="none"/>
        </w:rPr>
        <w:t>rPotential</w:t>
      </w:r>
      <w:proofErr w:type="spellEnd"/>
      <w:r w:rsidRPr="002E6607">
        <w:rPr>
          <w:rFonts w:eastAsia="Times New Roman" w:cstheme="minorHAnsi"/>
          <w:color w:val="000000"/>
          <w:kern w:val="0"/>
          <w:sz w:val="20"/>
          <w:szCs w:val="20"/>
          <w14:ligatures w14:val="none"/>
        </w:rPr>
        <w:t>. It is a structural lock against the "Model Monolith," proving with data whether the transformation is successful.</w:t>
      </w:r>
    </w:p>
    <w:p w14:paraId="1EBAB7F5" w14:textId="77777777" w:rsidR="002E6607" w:rsidRPr="002E6607" w:rsidRDefault="002E6607" w:rsidP="002E6607">
      <w:p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color w:val="000000"/>
          <w:kern w:val="0"/>
          <w:sz w:val="20"/>
          <w:szCs w:val="20"/>
          <w14:ligatures w14:val="none"/>
        </w:rPr>
        <w:t>It moves the conversation away from "LLM benchmarks" and toward a single, provocative board-level question:</w:t>
      </w:r>
    </w:p>
    <w:p w14:paraId="7C2FF0DE" w14:textId="77777777" w:rsidR="002E6607" w:rsidRPr="002E6607" w:rsidRDefault="002E6607" w:rsidP="002E6607">
      <w:p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b/>
          <w:bCs/>
          <w:i/>
          <w:iCs/>
          <w:color w:val="000000"/>
          <w:kern w:val="0"/>
          <w:sz w:val="20"/>
          <w:szCs w:val="20"/>
          <w14:ligatures w14:val="none"/>
        </w:rPr>
        <w:t>"Is our AI making the enterprise smarter or dumber, and can we prove it?"</w:t>
      </w:r>
    </w:p>
    <w:p w14:paraId="56385DB2" w14:textId="77777777" w:rsidR="002E6607" w:rsidRPr="002E6607" w:rsidRDefault="002E6607" w:rsidP="002E6607">
      <w:pPr>
        <w:spacing w:before="100" w:beforeAutospacing="1" w:after="100" w:afterAutospacing="1" w:line="240" w:lineRule="auto"/>
        <w:rPr>
          <w:rFonts w:eastAsia="Times New Roman" w:cstheme="minorHAnsi"/>
          <w:color w:val="000000"/>
          <w:kern w:val="0"/>
          <w:sz w:val="20"/>
          <w:szCs w:val="20"/>
          <w14:ligatures w14:val="none"/>
        </w:rPr>
      </w:pPr>
      <w:r w:rsidRPr="002E6607">
        <w:rPr>
          <w:rFonts w:eastAsia="Times New Roman" w:cstheme="minorHAnsi"/>
          <w:color w:val="000000"/>
          <w:kern w:val="0"/>
          <w:sz w:val="20"/>
          <w:szCs w:val="20"/>
          <w14:ligatures w14:val="none"/>
        </w:rPr>
        <w:t>The Operating System of the future is not the model you choose; it is the control plane that gives you the autonomy to switch models, preserve human skills, and prove economic value across every boundary.</w:t>
      </w:r>
    </w:p>
    <w:p w14:paraId="6A56491C" w14:textId="77777777" w:rsidR="009A1AB9" w:rsidRDefault="009A1AB9"/>
    <w:sectPr w:rsidR="009A1A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00000000" w:usb2="0001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1127"/>
    <w:multiLevelType w:val="multilevel"/>
    <w:tmpl w:val="4FF0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621E1A"/>
    <w:multiLevelType w:val="multilevel"/>
    <w:tmpl w:val="233C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4B04BC"/>
    <w:multiLevelType w:val="multilevel"/>
    <w:tmpl w:val="C41E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C31F67"/>
    <w:multiLevelType w:val="multilevel"/>
    <w:tmpl w:val="C4D4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7143681">
    <w:abstractNumId w:val="3"/>
  </w:num>
  <w:num w:numId="2" w16cid:durableId="920454842">
    <w:abstractNumId w:val="0"/>
  </w:num>
  <w:num w:numId="3" w16cid:durableId="11928723">
    <w:abstractNumId w:val="2"/>
  </w:num>
  <w:num w:numId="4" w16cid:durableId="1066142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607"/>
    <w:rsid w:val="001F454C"/>
    <w:rsid w:val="00204C38"/>
    <w:rsid w:val="002E6607"/>
    <w:rsid w:val="003D611D"/>
    <w:rsid w:val="00497790"/>
    <w:rsid w:val="00784845"/>
    <w:rsid w:val="009A1AB9"/>
    <w:rsid w:val="00B41B0C"/>
    <w:rsid w:val="00C80423"/>
    <w:rsid w:val="00D7305D"/>
    <w:rsid w:val="00DA5449"/>
    <w:rsid w:val="00F8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B9043D"/>
  <w15:chartTrackingRefBased/>
  <w15:docId w15:val="{94EF5F75-66B8-B144-BDF9-14136B9BB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6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E66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66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66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66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6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6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6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6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E66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66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66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66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6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607"/>
    <w:rPr>
      <w:rFonts w:eastAsiaTheme="majorEastAsia" w:cstheme="majorBidi"/>
      <w:color w:val="272727" w:themeColor="text1" w:themeTint="D8"/>
    </w:rPr>
  </w:style>
  <w:style w:type="paragraph" w:styleId="Title">
    <w:name w:val="Title"/>
    <w:basedOn w:val="Normal"/>
    <w:next w:val="Normal"/>
    <w:link w:val="TitleChar"/>
    <w:uiPriority w:val="10"/>
    <w:qFormat/>
    <w:rsid w:val="002E6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607"/>
    <w:pPr>
      <w:spacing w:before="160"/>
      <w:jc w:val="center"/>
    </w:pPr>
    <w:rPr>
      <w:i/>
      <w:iCs/>
      <w:color w:val="404040" w:themeColor="text1" w:themeTint="BF"/>
    </w:rPr>
  </w:style>
  <w:style w:type="character" w:customStyle="1" w:styleId="QuoteChar">
    <w:name w:val="Quote Char"/>
    <w:basedOn w:val="DefaultParagraphFont"/>
    <w:link w:val="Quote"/>
    <w:uiPriority w:val="29"/>
    <w:rsid w:val="002E6607"/>
    <w:rPr>
      <w:i/>
      <w:iCs/>
      <w:color w:val="404040" w:themeColor="text1" w:themeTint="BF"/>
    </w:rPr>
  </w:style>
  <w:style w:type="paragraph" w:styleId="ListParagraph">
    <w:name w:val="List Paragraph"/>
    <w:basedOn w:val="Normal"/>
    <w:uiPriority w:val="34"/>
    <w:qFormat/>
    <w:rsid w:val="002E6607"/>
    <w:pPr>
      <w:ind w:left="720"/>
      <w:contextualSpacing/>
    </w:pPr>
  </w:style>
  <w:style w:type="character" w:styleId="IntenseEmphasis">
    <w:name w:val="Intense Emphasis"/>
    <w:basedOn w:val="DefaultParagraphFont"/>
    <w:uiPriority w:val="21"/>
    <w:qFormat/>
    <w:rsid w:val="002E6607"/>
    <w:rPr>
      <w:i/>
      <w:iCs/>
      <w:color w:val="2F5496" w:themeColor="accent1" w:themeShade="BF"/>
    </w:rPr>
  </w:style>
  <w:style w:type="paragraph" w:styleId="IntenseQuote">
    <w:name w:val="Intense Quote"/>
    <w:basedOn w:val="Normal"/>
    <w:next w:val="Normal"/>
    <w:link w:val="IntenseQuoteChar"/>
    <w:uiPriority w:val="30"/>
    <w:qFormat/>
    <w:rsid w:val="002E66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6607"/>
    <w:rPr>
      <w:i/>
      <w:iCs/>
      <w:color w:val="2F5496" w:themeColor="accent1" w:themeShade="BF"/>
    </w:rPr>
  </w:style>
  <w:style w:type="character" w:styleId="IntenseReference">
    <w:name w:val="Intense Reference"/>
    <w:basedOn w:val="DefaultParagraphFont"/>
    <w:uiPriority w:val="32"/>
    <w:qFormat/>
    <w:rsid w:val="002E6607"/>
    <w:rPr>
      <w:b/>
      <w:bCs/>
      <w:smallCaps/>
      <w:color w:val="2F5496" w:themeColor="accent1" w:themeShade="BF"/>
      <w:spacing w:val="5"/>
    </w:rPr>
  </w:style>
  <w:style w:type="paragraph" w:styleId="NormalWeb">
    <w:name w:val="Normal (Web)"/>
    <w:basedOn w:val="Normal"/>
    <w:uiPriority w:val="99"/>
    <w:semiHidden/>
    <w:unhideWhenUsed/>
    <w:rsid w:val="002E660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2E6607"/>
  </w:style>
  <w:style w:type="character" w:styleId="HTMLCode">
    <w:name w:val="HTML Code"/>
    <w:basedOn w:val="DefaultParagraphFont"/>
    <w:uiPriority w:val="99"/>
    <w:semiHidden/>
    <w:unhideWhenUsed/>
    <w:rsid w:val="002E66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1135</Words>
  <Characters>6541</Characters>
  <Application>Microsoft Office Word</Application>
  <DocSecurity>0</DocSecurity>
  <Lines>112</Lines>
  <Paragraphs>61</Paragraphs>
  <ScaleCrop>false</ScaleCrop>
  <Company/>
  <LinksUpToDate>false</LinksUpToDate>
  <CharactersWithSpaces>7615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 Ottolenghi</dc:creator>
  <cp:keywords/>
  <dc:description/>
  <cp:lastModifiedBy>Les Ottolenghi</cp:lastModifiedBy>
  <cp:revision>1</cp:revision>
  <dcterms:created xsi:type="dcterms:W3CDTF">2026-04-19T17:49:00Z</dcterms:created>
  <dcterms:modified xsi:type="dcterms:W3CDTF">2026-04-19T17:49:00Z</dcterms:modified>
</cp:coreProperties>
</file>