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fe31cd54775fcfea3cb01f4bdfa12aa2a099bc"/>
    <w:p>
      <w:pPr>
        <w:pStyle w:val="Heading1"/>
      </w:pPr>
      <w:r>
        <w:t xml:space="preserve">Email to AEOS Engineering — Q3 Build Plan with Motion C</w:t>
      </w:r>
    </w:p>
    <w:p>
      <w:pPr>
        <w:pStyle w:val="FirstParagraph"/>
      </w:pPr>
      <w:r>
        <w:rPr>
          <w:bCs/>
          <w:b/>
        </w:rPr>
        <w:t xml:space="preserve">To:</w:t>
      </w:r>
      <w:r>
        <w:t xml:space="preserve"> </w:t>
      </w:r>
      <w:r>
        <w:t xml:space="preserve">AEOS Engineering Team (Danny + team, Marouen, Radhika, John)</w:t>
      </w:r>
      <w:r>
        <w:t xml:space="preserve"> </w:t>
      </w:r>
      <w:r>
        <w:rPr>
          <w:bCs/>
          <w:b/>
        </w:rPr>
        <w:t xml:space="preserve">Cc:</w:t>
      </w:r>
      <w:r>
        <w:t xml:space="preserve"> </w:t>
      </w:r>
      <w:r>
        <w:t xml:space="preserve">Dulay</w:t>
      </w:r>
      <w:r>
        <w:t xml:space="preserve"> </w:t>
      </w:r>
      <w:r>
        <w:rPr>
          <w:bCs/>
          <w:b/>
        </w:rPr>
        <w:t xml:space="preserve">From:</w:t>
      </w:r>
      <w:r>
        <w:t xml:space="preserve"> </w:t>
      </w:r>
      <w:r>
        <w:t xml:space="preserve">Les</w:t>
      </w:r>
      <w:r>
        <w:t xml:space="preserve"> </w:t>
      </w:r>
      <w:r>
        <w:rPr>
          <w:bCs/>
          <w:b/>
        </w:rPr>
        <w:t xml:space="preserve">Subject:</w:t>
      </w:r>
      <w:r>
        <w:t xml:space="preserve"> </w:t>
      </w:r>
      <w:r>
        <w:t xml:space="preserve">AEOS Q3 2026 build — three motions, 10 weeks, what we’re shipping</w:t>
      </w:r>
      <w:r>
        <w:t xml:space="preserve"> </w:t>
      </w:r>
      <w:r>
        <w:rPr>
          <w:bCs/>
          <w:b/>
        </w:rPr>
        <w:t xml:space="preserve">Date:</w:t>
      </w:r>
      <w:r>
        <w:t xml:space="preserve"> </w:t>
      </w:r>
      <w:r>
        <w:t xml:space="preserve">April 19, 2026</w:t>
      </w:r>
      <w:r>
        <w:t xml:space="preserve"> </w:t>
      </w:r>
      <w:r>
        <w:rPr>
          <w:bCs/>
          <w:b/>
        </w:rPr>
        <w:t xml:space="preserve">Classification:</w:t>
      </w:r>
      <w:r>
        <w:t xml:space="preserve"> </w:t>
      </w:r>
      <w:r>
        <w:t xml:space="preserve">Internal · Engineering</w:t>
      </w:r>
    </w:p>
    <w:p>
      <w:r>
        <w:pict>
          <v:rect style="width:0;height:1.5pt" o:hralign="center" o:hrstd="t" o:hr="t"/>
        </w:pict>
      </w:r>
    </w:p>
    <w:p>
      <w:pPr>
        <w:pStyle w:val="FirstParagraph"/>
      </w:pPr>
      <w:r>
        <w:t xml:space="preserve">Team,</w:t>
      </w:r>
    </w:p>
    <w:p>
      <w:pPr>
        <w:pStyle w:val="BodyText"/>
      </w:pPr>
      <w:r>
        <w:t xml:space="preserve">Short, practical email. We’ve added a third engineering motion to the Q3 2026 build. This brings the total to three motions running in parallel over 10 weeks. The updated PRD is attached (</w:t>
      </w:r>
      <w:r>
        <w:rPr>
          <w:rStyle w:val="VerbatimChar"/>
        </w:rPr>
        <w:t xml:space="preserve">8_AEOS_PRD_MotionA_MotionB_MotionC.docx</w:t>
      </w:r>
      <w:r>
        <w:t xml:space="preserve">) and covers all three motions end-to-end including sprint plans, acceptance criteria, success metrics, and risk register. Read that first. This email is the engineering orientation around it.</w:t>
      </w:r>
    </w:p>
    <w:bookmarkStart w:id="20" w:name="the-three-motions"/>
    <w:p>
      <w:pPr>
        <w:pStyle w:val="Heading2"/>
      </w:pPr>
      <w:r>
        <w:t xml:space="preserve">The three motions</w:t>
      </w:r>
    </w:p>
    <w:p>
      <w:pPr>
        <w:pStyle w:val="FirstParagraph"/>
      </w:pPr>
      <w:r>
        <w:rPr>
          <w:bCs/>
          <w:b/>
        </w:rPr>
        <w:t xml:space="preserve">Motion A — Paperclip pattern absorption.</w:t>
      </w:r>
      <w:r>
        <w:t xml:space="preserve"> </w:t>
      </w:r>
      <w:r>
        <w:t xml:space="preserve">8 weeks, 2-3 engineers. Frontend (React) plus backend (Go, Python) plus admin dashboard. Seven patterns absorbed from paperclipai/paperclip (MIT License) into AEOS’s developer-facing surface: agent org-chart data model, ticket-based task format at Layer 1, scheduled agent heartbeats at Layer 9, per-agent budget tracking and automatic pause, SKILLS.md runtime skill declaration, approval-gate pattern at Layer 12, multi-company multi-tenant portfolio UX. Attribution handled in code headers,</w:t>
      </w:r>
      <w:r>
        <w:t xml:space="preserve"> </w:t>
      </w:r>
      <w:r>
        <w:rPr>
          <w:rStyle w:val="VerbatimChar"/>
        </w:rPr>
        <w:t xml:space="preserve">THIRD_PARTY_NOTICES.md</w:t>
      </w:r>
      <w:r>
        <w:t xml:space="preserve">, public docs, and a release-day blog post. Detailed pattern mapping in PRD Section 3.</w:t>
      </w:r>
    </w:p>
    <w:p>
      <w:pPr>
        <w:pStyle w:val="BodyText"/>
      </w:pPr>
      <w:r>
        <w:rPr>
          <w:bCs/>
          <w:b/>
        </w:rPr>
        <w:t xml:space="preserve">Motion B — Vast.ai dynamic provisioning.</w:t>
      </w:r>
      <w:r>
        <w:t xml:space="preserve"> </w:t>
      </w:r>
      <w:r>
        <w:t xml:space="preserve">6 weeks, 1-2 Go engineers. Adapter Gateway extension at Layer 8 with three provisioning modes: static endpoint (current behavior, unchanged), Vast.ai on-demand (per-task-batch provisioning), Vast.ai reserved-pool (warm pool with autoscaling). Optional SkyPilot backend as a multi-cloud abstraction. Observability integration for infrastructure provenance. Audit evidence inclusion at Layer 12 (signed attestation bundles include Vast.ai instance metadata). PRD Section 4.</w:t>
      </w:r>
    </w:p>
    <w:p>
      <w:pPr>
        <w:pStyle w:val="BodyText"/>
      </w:pPr>
      <w:r>
        <w:rPr>
          <w:bCs/>
          <w:b/>
        </w:rPr>
        <w:t xml:space="preserve">Motion C — Three-Tier Eval Harness.</w:t>
      </w:r>
      <w:r>
        <w:t xml:space="preserve"> </w:t>
      </w:r>
      <w:r>
        <w:t xml:space="preserve">10 weeks, 2 engineers across Go and Python.</w:t>
      </w:r>
      <w:r>
        <w:t xml:space="preserve"> </w:t>
      </w:r>
      <w:r>
        <w:rPr>
          <w:bCs/>
          <w:b/>
        </w:rPr>
        <w:t xml:space="preserve">This one is new in v2.3.</w:t>
      </w:r>
      <w:r>
        <w:t xml:space="preserve"> </w:t>
      </w:r>
      <w:r>
        <w:t xml:space="preserve">Read PRD Section 4bis first because the architecture is load-bearing — it closes a reliability gap in AEOS as originally specified and it is the foundation of a new premium SKU (Enterprise Eval Certification).</w:t>
      </w:r>
    </w:p>
    <w:bookmarkEnd w:id="20"/>
    <w:bookmarkStart w:id="21" w:name="X64e982245c2734b15db58bd73a007a4bf6f4538"/>
    <w:p>
      <w:pPr>
        <w:pStyle w:val="Heading2"/>
      </w:pPr>
      <w:r>
        <w:t xml:space="preserve">The Motion C engineering concept in plain terms</w:t>
      </w:r>
    </w:p>
    <w:p>
      <w:pPr>
        <w:pStyle w:val="FirstParagraph"/>
      </w:pPr>
      <w:r>
        <w:t xml:space="preserve">The gap we are closing: AEOS v2.2 trusted the vendor’s self-reported success flag as the outcome signal driving the Economic Ledger, the rPotential deltas, and every subsequent UEF routing decision. That flag reports whether the API call returned without error, not whether the output meets enterprise standards. An agent that produces a fluent, polite, grammatically perfect response that is also factually wrong returns</w:t>
      </w:r>
      <w:r>
        <w:t xml:space="preserve"> </w:t>
      </w:r>
      <w:r>
        <w:rPr>
          <w:rStyle w:val="VerbatimChar"/>
        </w:rPr>
        <w:t xml:space="preserve">success=true</w:t>
      </w:r>
      <w:r>
        <w:t xml:space="preserve">. This is a reliability gap. Motion C closes it.</w:t>
      </w:r>
    </w:p>
    <w:p>
      <w:pPr>
        <w:pStyle w:val="BodyText"/>
      </w:pPr>
      <w:r>
        <w:t xml:space="preserve">The architectural addition: a new sub-component of Layer 10 (Telemetry and Observability) called the Eval Harness. Three tiers:</w:t>
      </w:r>
    </w:p>
    <w:p>
      <w:pPr>
        <w:numPr>
          <w:ilvl w:val="0"/>
          <w:numId w:val="1001"/>
        </w:numPr>
      </w:pPr>
      <w:r>
        <w:rPr>
          <w:bCs/>
          <w:b/>
        </w:rPr>
        <w:t xml:space="preserve">Tier 1 Format Compliance</w:t>
      </w:r>
      <w:r>
        <w:t xml:space="preserve"> </w:t>
      </w:r>
      <w:r>
        <w:t xml:space="preserve">runs inline during telemetry ingestion. Deterministic rules — length bounds, required-field presence, JSON schema validation, regex patterns, citation format, structural integrity. Runs in milliseconds. Fully automated. Catches approximately 60-70% of failed outputs before any downstream layer processes them. This is the easiest tier to build and the one with the highest leverage.</w:t>
      </w:r>
    </w:p>
    <w:p>
      <w:pPr>
        <w:numPr>
          <w:ilvl w:val="0"/>
          <w:numId w:val="1001"/>
        </w:numPr>
      </w:pPr>
      <w:r>
        <w:rPr>
          <w:bCs/>
          <w:b/>
        </w:rPr>
        <w:t xml:space="preserve">Tier 2 Factual Accuracy</w:t>
      </w:r>
      <w:r>
        <w:t xml:space="preserve"> </w:t>
      </w:r>
      <w:r>
        <w:t xml:space="preserve">runs asynchronously, correlated back to LedgerRows via execution_id. Database cross-reference against the Enterprise Knowledge Graph at Layer 5. Knowledge-graph queries. API-backed fact verification. LLM-as-judge where a second runtime vendor (not the one that executed the task) grades the output against a structured rubric. Runs in hundreds of milliseconds to seconds.</w:t>
      </w:r>
    </w:p>
    <w:p>
      <w:pPr>
        <w:numPr>
          <w:ilvl w:val="0"/>
          <w:numId w:val="1001"/>
        </w:numPr>
      </w:pPr>
      <w:r>
        <w:rPr>
          <w:bCs/>
          <w:b/>
        </w:rPr>
        <w:t xml:space="preserve">Tier 3 Quality Judgment</w:t>
      </w:r>
      <w:r>
        <w:t xml:space="preserve"> </w:t>
      </w:r>
      <w:r>
        <w:t xml:space="preserve">routes to a specific human evaluator selected by composite scoring of UoP readiness from rPotential, Skills Authority authorization, Coordination Tax minimization, and per-Boundary jurisdictional fit. Critically not by organizational hierarchy. This is the novel and patentable part and also the hardest sprint (Sprint C3) because it depends on deep integration with the rPotential Signal Bus.</w:t>
      </w:r>
    </w:p>
    <w:p>
      <w:pPr>
        <w:pStyle w:val="FirstParagraph"/>
      </w:pPr>
      <w:r>
        <w:t xml:space="preserve">Each Skill in the Skills Authority gains an</w:t>
      </w:r>
      <w:r>
        <w:t xml:space="preserve"> </w:t>
      </w:r>
      <w:r>
        <w:rPr>
          <w:rStyle w:val="VerbatimChar"/>
        </w:rPr>
        <w:t xml:space="preserve">eval_criteria</w:t>
      </w:r>
      <w:r>
        <w:t xml:space="preserve"> </w:t>
      </w:r>
      <w:r>
        <w:t xml:space="preserve">field declaring which rubrics apply. The LedgerRow schema gains</w:t>
      </w:r>
      <w:r>
        <w:t xml:space="preserve"> </w:t>
      </w:r>
      <w:r>
        <w:rPr>
          <w:rStyle w:val="VerbatimChar"/>
        </w:rPr>
        <w:t xml:space="preserve">eval_result</w:t>
      </w:r>
      <w:r>
        <w:t xml:space="preserve">,</w:t>
      </w:r>
      <w:r>
        <w:t xml:space="preserve"> </w:t>
      </w:r>
      <w:r>
        <w:rPr>
          <w:rStyle w:val="VerbatimChar"/>
        </w:rPr>
        <w:t xml:space="preserve">vendor_reported_success</w:t>
      </w:r>
      <w:r>
        <w:t xml:space="preserve"> </w:t>
      </w:r>
      <w:r>
        <w:t xml:space="preserve">(preserved for audit), and</w:t>
      </w:r>
      <w:r>
        <w:t xml:space="preserve"> </w:t>
      </w:r>
      <w:r>
        <w:rPr>
          <w:rStyle w:val="VerbatimChar"/>
        </w:rPr>
        <w:t xml:space="preserve">eval_graded_success</w:t>
      </w:r>
      <w:r>
        <w:t xml:space="preserve"> </w:t>
      </w:r>
      <w:r>
        <w:t xml:space="preserve">(computed from the eval result). The three deltas written to rPotential are computed from</w:t>
      </w:r>
      <w:r>
        <w:t xml:space="preserve"> </w:t>
      </w:r>
      <w:r>
        <w:rPr>
          <w:rStyle w:val="VerbatimChar"/>
        </w:rPr>
        <w:t xml:space="preserve">eval_graded_success</w:t>
      </w:r>
      <w:r>
        <w:t xml:space="preserve">, not from the vendor flag. Aggregated failures feed into Layer 9 (Dynamic Instruction Runtime) which synthesizes corrective instruction updates for subsequent executions.</w:t>
      </w:r>
    </w:p>
    <w:bookmarkEnd w:id="21"/>
    <w:bookmarkStart w:id="22" w:name="sprint-breakdown-for-motion-c"/>
    <w:p>
      <w:pPr>
        <w:pStyle w:val="Heading2"/>
      </w:pPr>
      <w:r>
        <w:t xml:space="preserve">Sprint breakdown for Motion C</w:t>
      </w:r>
    </w:p>
    <w:p>
      <w:pPr>
        <w:pStyle w:val="FirstParagraph"/>
      </w:pPr>
      <w:r>
        <w:t xml:space="preserve">Five two-week sprints. Full acceptance criteria per sprint in PRD Section 4bis.7.</w:t>
      </w:r>
    </w:p>
    <w:p>
      <w:pPr>
        <w:numPr>
          <w:ilvl w:val="0"/>
          <w:numId w:val="1002"/>
        </w:numPr>
      </w:pPr>
      <w:r>
        <w:rPr>
          <w:bCs/>
          <w:b/>
        </w:rPr>
        <w:t xml:space="preserve">Sprint C1 (weeks 1-2).</w:t>
      </w:r>
      <w:r>
        <w:t xml:space="preserve"> </w:t>
      </w:r>
      <w:r>
        <w:t xml:space="preserve">Tier 1 rule engine in Go, extending the Ledger Service (port 8006). Protobuf</w:t>
      </w:r>
      <w:r>
        <w:t xml:space="preserve"> </w:t>
      </w:r>
      <w:r>
        <w:rPr>
          <w:rStyle w:val="VerbatimChar"/>
        </w:rPr>
        <w:t xml:space="preserve">EvalCriteria</w:t>
      </w:r>
      <w:r>
        <w:t xml:space="preserve"> </w:t>
      </w:r>
      <w:r>
        <w:t xml:space="preserve">schema. Skills Authority schema extension to carry eval_criteria per skill. Acceptance: a Skill can declare Tier 1 format rules; executions that violate those rules produce LedgerRows with eval_graded_success=false and specific failure identifiers; format-compliance rejection rate across a test corpus is measurable.</w:t>
      </w:r>
    </w:p>
    <w:p>
      <w:pPr>
        <w:numPr>
          <w:ilvl w:val="0"/>
          <w:numId w:val="1002"/>
        </w:numPr>
      </w:pPr>
      <w:r>
        <w:rPr>
          <w:bCs/>
          <w:b/>
        </w:rPr>
        <w:t xml:space="preserve">Sprint C2 (weeks 3-4).</w:t>
      </w:r>
      <w:r>
        <w:t xml:space="preserve"> </w:t>
      </w:r>
      <w:r>
        <w:t xml:space="preserve">Tier 2 verification framework. Database cross-reference via the Enterprise Knowledge Graph adapter. Knowledge-graph query integration. At least three API-backed fact-verification adapters (propose: regulatory citation lookup, real-time pricing API, address validation). LLM-as-judge using a second runtime vendor for independence via the existing Adapter Gateway pattern. Acceptance: a Skill can declare Tier 2 factual checks; executions are asynchronously verified with results correlated to LedgerRows; the LLM-as-judge operates via the standard adapter interface.</w:t>
      </w:r>
    </w:p>
    <w:p>
      <w:pPr>
        <w:numPr>
          <w:ilvl w:val="0"/>
          <w:numId w:val="1002"/>
        </w:numPr>
      </w:pPr>
      <w:r>
        <w:rPr>
          <w:bCs/>
          <w:b/>
        </w:rPr>
        <w:t xml:space="preserve">Sprint C3 (weeks 5-6).</w:t>
      </w:r>
      <w:r>
        <w:t xml:space="preserve"> </w:t>
      </w:r>
      <w:r>
        <w:t xml:space="preserve">Tier 3 evaluator assignment algorithm. Integration with Skills Authority for evaluator skill authorization (this is a new schema element — who can evaluate a skill is distinct from who can execute it). Integration with rPotential Signal Bus for UoP signal consumption. Integration with Coordination Tax calculator for evaluator friction scoring. Integration with per-Boundary governance for jurisdictional constraints. Tier 3 dispatch via Human Adapter using the existing hybrid_human path. This is the hardest sprint — start thinking about rPotential Signal Bus integration now, not in week 5.</w:t>
      </w:r>
    </w:p>
    <w:p>
      <w:pPr>
        <w:numPr>
          <w:ilvl w:val="0"/>
          <w:numId w:val="1002"/>
        </w:numPr>
      </w:pPr>
      <w:r>
        <w:rPr>
          <w:bCs/>
          <w:b/>
        </w:rPr>
        <w:t xml:space="preserve">Sprint C4 (weeks 7-8).</w:t>
      </w:r>
      <w:r>
        <w:t xml:space="preserve"> </w:t>
      </w:r>
      <w:r>
        <w:t xml:space="preserve">LedgerRow schema extension. Three-delta computation updated to use eval_graded_success. Admin dashboard surface for eval outcomes (per-skill failure rates, per-vendor quality comparison, per-evaluator workload, vendor-vs-eval quality gap per skill). Acceptance: rPotential deltas computed from eval-graded outcomes; dashboard surfaces actionable eval analytics.</w:t>
      </w:r>
    </w:p>
    <w:p>
      <w:pPr>
        <w:numPr>
          <w:ilvl w:val="0"/>
          <w:numId w:val="1002"/>
        </w:numPr>
      </w:pPr>
      <w:r>
        <w:rPr>
          <w:bCs/>
          <w:b/>
        </w:rPr>
        <w:t xml:space="preserve">Sprint C5 (weeks 9-10).</w:t>
      </w:r>
      <w:r>
        <w:t xml:space="preserve"> </w:t>
      </w:r>
      <w:r>
        <w:t xml:space="preserve">Continuous improvement flywheel at Layer 9. Eval failure corpus aggregation. Corrective instruction synthesis using LLM (this is a meta-use of LLM inside AEOS — we are using a model to generate instructions for other models, all governed by Layer 2). Governance review of synthesized instructions. Version storage in Memory Layer (process_evolution_history). Injection via existing Layer 9 mechanism. Flywheel performance tracking.</w:t>
      </w:r>
    </w:p>
    <w:bookmarkEnd w:id="22"/>
    <w:bookmarkStart w:id="23" w:name="X2bf214bb87d8409230c344dbc191c56e7430fb8"/>
    <w:p>
      <w:pPr>
        <w:pStyle w:val="Heading2"/>
      </w:pPr>
      <w:r>
        <w:t xml:space="preserve">Engineering decisions to make in the next two weeks</w:t>
      </w:r>
    </w:p>
    <w:p>
      <w:pPr>
        <w:pStyle w:val="FirstParagraph"/>
      </w:pPr>
      <w:r>
        <w:t xml:space="preserve">Before Sprint C1 starts, we need four technical decisions locked:</w:t>
      </w:r>
    </w:p>
    <w:p>
      <w:pPr>
        <w:numPr>
          <w:ilvl w:val="0"/>
          <w:numId w:val="1003"/>
        </w:numPr>
      </w:pPr>
      <w:r>
        <w:rPr>
          <w:bCs/>
          <w:b/>
        </w:rPr>
        <w:t xml:space="preserve">Go package structure for the Eval Harness.</w:t>
      </w:r>
      <w:r>
        <w:t xml:space="preserve"> </w:t>
      </w:r>
      <w:r>
        <w:t xml:space="preserve">Proposal: extend the existing Ledger Service rather than create a new service. Reasoning: Tier 1 needs to run inline with telemetry ingestion which is already in the Ledger Service; Tier 2 needs ClickHouse access for async correlation which is already in the Ledger Service; Tier 3 dispatch uses the existing Adapter Gateway pattern. Creating a separate service adds latency and operational surface without clear benefit. Danny and Marouen to confirm.</w:t>
      </w:r>
    </w:p>
    <w:p>
      <w:pPr>
        <w:numPr>
          <w:ilvl w:val="0"/>
          <w:numId w:val="1003"/>
        </w:numPr>
      </w:pPr>
      <w:r>
        <w:rPr>
          <w:bCs/>
          <w:b/>
        </w:rPr>
        <w:t xml:space="preserve">Tier 2 LLM-as-judge vendor rotation vs dedicated.</w:t>
      </w:r>
      <w:r>
        <w:t xml:space="preserve"> </w:t>
      </w:r>
      <w:r>
        <w:t xml:space="preserve">Proposal: rotate across available runtime vendors per-tenant-configuration to avoid systematic bias from any single vendor’s quality preferences influencing eval grades. Alternative: dedicated per-tenant configuration for operational simplicity. Danny to decide; operational cost and debuggability both matter.</w:t>
      </w:r>
    </w:p>
    <w:p>
      <w:pPr>
        <w:numPr>
          <w:ilvl w:val="0"/>
          <w:numId w:val="1003"/>
        </w:numPr>
      </w:pPr>
      <w:r>
        <w:rPr>
          <w:bCs/>
          <w:b/>
        </w:rPr>
        <w:t xml:space="preserve">Tier 3 evaluator dispatch UX.</w:t>
      </w:r>
      <w:r>
        <w:t xml:space="preserve"> </w:t>
      </w:r>
      <w:r>
        <w:t xml:space="preserve">Proposal: use the existing Human Adapter path with an eval-specific metadata flag. Alternative: build a dedicated evaluator console. John and Dulay to decide based on product requirements; my bias is reuse the existing Human Adapter for speed and integration-consistency.</w:t>
      </w:r>
    </w:p>
    <w:p>
      <w:pPr>
        <w:numPr>
          <w:ilvl w:val="0"/>
          <w:numId w:val="1003"/>
        </w:numPr>
      </w:pPr>
      <w:r>
        <w:rPr>
          <w:bCs/>
          <w:b/>
        </w:rPr>
        <w:t xml:space="preserve">Sampling rate defaults.</w:t>
      </w:r>
      <w:r>
        <w:t xml:space="preserve"> </w:t>
      </w:r>
      <w:r>
        <w:t xml:space="preserve">Proposal: Tier 3 sampled at 5-15% for established skills, 100% during first 30 days of a new skill’s production lifetime, 100% for governance-tagged skills where every output requires human review. Radhika to confirm product defaults per tenant onboarding.</w:t>
      </w:r>
    </w:p>
    <w:bookmarkEnd w:id="23"/>
    <w:bookmarkStart w:id="24" w:name="interaction-with-motions-a-and-b"/>
    <w:p>
      <w:pPr>
        <w:pStyle w:val="Heading2"/>
      </w:pPr>
      <w:r>
        <w:t xml:space="preserve">Interaction with Motions A and B</w:t>
      </w:r>
    </w:p>
    <w:p>
      <w:pPr>
        <w:pStyle w:val="FirstParagraph"/>
      </w:pPr>
      <w:r>
        <w:t xml:space="preserve">Motion A and Motion B do not block Motion C. Motion C does touch data structures (Skills Authority schema, LedgerRow schema, Memory Layer process_evolution_history) that are also touched by Motion A (SKILLS.md ingestion) and Motion B (Vast.ai instance metadata in attestation bundles). Schema coordination meetings across the three motions need to happen in weeks 1 and 4. Danny to own the schema-coordination cadence.</w:t>
      </w:r>
    </w:p>
    <w:p>
      <w:pPr>
        <w:pStyle w:val="BodyText"/>
      </w:pPr>
      <w:r>
        <w:t xml:space="preserve">Motion A’s SKILLS.md parser needs to handle the new</w:t>
      </w:r>
      <w:r>
        <w:t xml:space="preserve"> </w:t>
      </w:r>
      <w:r>
        <w:rPr>
          <w:rStyle w:val="VerbatimChar"/>
        </w:rPr>
        <w:t xml:space="preserve">eval_criteria</w:t>
      </w:r>
      <w:r>
        <w:t xml:space="preserve"> </w:t>
      </w:r>
      <w:r>
        <w:t xml:space="preserve">field introduced in Motion C Sprint C1. This is a one-day coordination task in Motion A week 3 once Motion C Sprint C1 lands the Protobuf schema. Not a blocker, just a coordination item.</w:t>
      </w:r>
    </w:p>
    <w:bookmarkEnd w:id="24"/>
    <w:bookmarkStart w:id="25" w:name="what-will-ship-at-q3-close"/>
    <w:p>
      <w:pPr>
        <w:pStyle w:val="Heading2"/>
      </w:pPr>
      <w:r>
        <w:t xml:space="preserve">What will ship at Q3 close</w:t>
      </w:r>
    </w:p>
    <w:p>
      <w:pPr>
        <w:pStyle w:val="FirstParagraph"/>
      </w:pPr>
      <w:r>
        <w:t xml:space="preserve">All three motions complete in the Q3 2026 AEOS release. At release:</w:t>
      </w:r>
    </w:p>
    <w:p>
      <w:pPr>
        <w:numPr>
          <w:ilvl w:val="0"/>
          <w:numId w:val="1004"/>
        </w:numPr>
        <w:pStyle w:val="Compact"/>
      </w:pPr>
      <w:r>
        <w:t xml:space="preserve">Developer-tier AEOS with Paperclip-pattern UX and SKILLS.md onboarding is public</w:t>
      </w:r>
    </w:p>
    <w:p>
      <w:pPr>
        <w:numPr>
          <w:ilvl w:val="0"/>
          <w:numId w:val="1004"/>
        </w:numPr>
        <w:pStyle w:val="Compact"/>
      </w:pPr>
      <w:r>
        <w:t xml:space="preserve">Enterprise-tier AEOS with Vast.ai-backed open-source routing delivers contractable cost savings</w:t>
      </w:r>
    </w:p>
    <w:p>
      <w:pPr>
        <w:numPr>
          <w:ilvl w:val="0"/>
          <w:numId w:val="1004"/>
        </w:numPr>
        <w:pStyle w:val="Compact"/>
      </w:pPr>
      <w:r>
        <w:t xml:space="preserve">Enterprise Eval Certification SKU goes live with three-tier evaluation, workforce-routed Tier 3, and the continuous improvement flywheel operating in production</w:t>
      </w:r>
    </w:p>
    <w:p>
      <w:pPr>
        <w:numPr>
          <w:ilvl w:val="0"/>
          <w:numId w:val="1004"/>
        </w:numPr>
        <w:pStyle w:val="Compact"/>
      </w:pPr>
      <w:r>
        <w:t xml:space="preserve">Attestation bundles include both Vast.ai infrastructure provenance and eval-graded outcomes</w:t>
      </w:r>
    </w:p>
    <w:p>
      <w:pPr>
        <w:numPr>
          <w:ilvl w:val="0"/>
          <w:numId w:val="1004"/>
        </w:numPr>
        <w:pStyle w:val="Compact"/>
      </w:pPr>
      <w:r>
        <w:t xml:space="preserve">Public acknowledgment post for Paperclip goes live on release day</w:t>
      </w:r>
    </w:p>
    <w:p>
      <w:pPr>
        <w:numPr>
          <w:ilvl w:val="0"/>
          <w:numId w:val="1004"/>
        </w:numPr>
        <w:pStyle w:val="Compact"/>
      </w:pPr>
      <w:r>
        <w:t xml:space="preserve">First-party reference documentation and SDK updates cover all three motions</w:t>
      </w:r>
    </w:p>
    <w:bookmarkEnd w:id="25"/>
    <w:bookmarkStart w:id="26" w:name="please-do-these-three-things-this-week"/>
    <w:p>
      <w:pPr>
        <w:pStyle w:val="Heading2"/>
      </w:pPr>
      <w:r>
        <w:t xml:space="preserve">Please do these three things this week</w:t>
      </w:r>
    </w:p>
    <w:p>
      <w:pPr>
        <w:numPr>
          <w:ilvl w:val="0"/>
          <w:numId w:val="1005"/>
        </w:numPr>
      </w:pPr>
      <w:r>
        <w:t xml:space="preserve">Read PRD Section 4bis (Motion C spec) in full. The Eval Harness is the most architecturally significant addition we have made since v1.0 and everyone should understand it.</w:t>
      </w:r>
    </w:p>
    <w:p>
      <w:pPr>
        <w:numPr>
          <w:ilvl w:val="0"/>
          <w:numId w:val="1005"/>
        </w:numPr>
      </w:pPr>
      <w:r>
        <w:t xml:space="preserve">Send schema-coordination proposals to Danny for the Skills Authority, LedgerRow, and process_evolution_history touchpoints across the three motions. Proposals can be one page each.</w:t>
      </w:r>
    </w:p>
    <w:p>
      <w:pPr>
        <w:numPr>
          <w:ilvl w:val="0"/>
          <w:numId w:val="1005"/>
        </w:numPr>
      </w:pPr>
      <w:r>
        <w:t xml:space="preserve">Send capacity confirmations to Danny for your specific sprint assignments. If there’s a sprint you can’t commit to or where the scope looks underestimated, flag it now rather than in week 3.</w:t>
      </w:r>
    </w:p>
    <w:p>
      <w:pPr>
        <w:pStyle w:val="FirstParagraph"/>
      </w:pPr>
      <w:r>
        <w:t xml:space="preserve">Questions to me or Danny. Dulay is the product authority on tier boundaries and commercial implications. Radhika is the product authority on tenant onboarding defaults. Marouen is the technical authority on the Ledger Service extension path.</w:t>
      </w:r>
    </w:p>
    <w:p>
      <w:pPr>
        <w:pStyle w:val="BodyText"/>
      </w:pPr>
      <w:r>
        <w:t xml:space="preserve">Thanks for the work. This is a strong quarter for AEOS.</w:t>
      </w:r>
    </w:p>
    <w:p>
      <w:pPr>
        <w:pStyle w:val="BodyText"/>
      </w:pPr>
      <w:r>
        <w:t xml:space="preserve">Les</w:t>
      </w:r>
    </w:p>
    <w:p>
      <w:r>
        <w:pict>
          <v:rect style="width:0;height:1.5pt" o:hralign="center" o:hrstd="t" o:hr="t"/>
        </w:pict>
      </w:r>
    </w:p>
    <w:p>
      <w:pPr>
        <w:pStyle w:val="FirstParagraph"/>
      </w:pPr>
      <w:r>
        <w:rPr>
          <w:iCs/>
          <w:i/>
        </w:rPr>
        <w:t xml:space="preserve">FuzeBox.AI · Confidential · Internal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2026-04-19T16:49:48Z</dcterms:created>
  <dcterms:modified xsi:type="dcterms:W3CDTF">2026-04-19T16:49:48Z</dcterms:modified>
</cp:coreProperties>
</file>

<file path=docProps/custom.xml><?xml version="1.0" encoding="utf-8"?>
<Properties xmlns="http://schemas.openxmlformats.org/officeDocument/2006/custom-properties" xmlns:vt="http://schemas.openxmlformats.org/officeDocument/2006/docPropsVTypes"/>
</file>