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color w:val="6B7280"/>
          <w:sz w:val="22"/>
          <w:szCs w:val="22"/>
        </w:rPr>
        <w:t xml:space="preserve">Test task for analyst V3</w:t>
      </w:r>
    </w:p>
    <w:p>
      <w:pPr>
        <w:spacing w:after="80"/>
      </w:pPr>
      <w:r>
        <w:rPr>
          <w:rFonts w:ascii="Calibri" w:cs="Calibri" w:eastAsia="Calibri" w:hAnsi="Calibri"/>
          <w:b/>
          <w:bCs/>
          <w:color w:val="3D4B7B"/>
          <w:sz w:val="44"/>
          <w:szCs w:val="44"/>
        </w:rPr>
        <w:t xml:space="preserve">Part 5 — Google Sheet and Data Analysis</w:t>
      </w:r>
    </w:p>
    <w:p>
      <w:pPr>
        <w:pBdr>
          <w:bottom w:val="single" w:color="B8860B" w:sz="12" w:space="10"/>
        </w:pBdr>
        <w:spacing w:after="400"/>
      </w:pPr>
      <w:r>
        <w:rPr>
          <w:rFonts w:ascii="Calibri" w:cs="Calibri" w:eastAsia="Calibri" w:hAnsi="Calibri"/>
          <w:color w:val="2E3338"/>
          <w:sz w:val="24"/>
          <w:szCs w:val="24"/>
        </w:rPr>
        <w:t xml:space="preserve">Normalisation, pivot tables, charts and findings for ecommerce_website_data</w:t>
      </w:r>
    </w:p>
    <w:p>
      <w:pPr>
        <w:spacing w:after="60" w:before="0"/>
      </w:pPr>
      <w:r>
        <w:rPr>
          <w:rFonts w:ascii="Calibri" w:cs="Calibri" w:eastAsia="Calibri" w:hAnsi="Calibri"/>
          <w:b w:val="false"/>
          <w:bCs w:val="false"/>
          <w:i w:val="false"/>
          <w:iCs w:val="false"/>
          <w:color w:val="6B7280"/>
          <w:sz w:val="21"/>
          <w:szCs w:val="21"/>
        </w:rPr>
        <w:t xml:space="preserve">Prepared for </w:t>
      </w:r>
      <w:r>
        <w:rPr>
          <w:rFonts w:ascii="Calibri" w:cs="Calibri" w:eastAsia="Calibri" w:hAnsi="Calibri"/>
          <w:b/>
          <w:bCs/>
          <w:i w:val="false"/>
          <w:iCs w:val="false"/>
          <w:color w:val="2E3338"/>
          <w:sz w:val="21"/>
          <w:szCs w:val="21"/>
        </w:rPr>
        <w:t xml:space="preserve">Bulls Media</w:t>
      </w:r>
      <w:r>
        <w:rPr>
          <w:rFonts w:ascii="Calibri" w:cs="Calibri" w:eastAsia="Calibri" w:hAnsi="Calibri"/>
          <w:b w:val="false"/>
          <w:bCs w:val="false"/>
          <w:i w:val="false"/>
          <w:iCs w:val="false"/>
          <w:color w:val="6B7280"/>
          <w:sz w:val="21"/>
          <w:szCs w:val="21"/>
        </w:rPr>
        <w:t xml:space="preserve"> — BI Developer / Data Analyst test task.</w:t>
      </w:r>
    </w:p>
    <w:p>
      <w:pPr>
        <w:spacing w:after="60" w:before="0"/>
      </w:pPr>
      <w:r>
        <w:rPr>
          <w:rFonts w:ascii="Calibri" w:cs="Calibri" w:eastAsia="Calibri" w:hAnsi="Calibri"/>
          <w:b w:val="false"/>
          <w:bCs w:val="false"/>
          <w:i w:val="false"/>
          <w:iCs w:val="false"/>
          <w:color w:val="6B7280"/>
          <w:sz w:val="21"/>
          <w:szCs w:val="21"/>
        </w:rPr>
        <w:t xml:space="preserve">Deliverables: this document and the working Google Sheet — 10 tabs, 18 pivot tables, 9 charts, and the two Apps Script files that build all of it.</w:t>
      </w:r>
    </w:p>
    <w:p>
      <w:pPr>
        <w:spacing w:after="600" w:before="0"/>
      </w:pPr>
      <w:r>
        <w:rPr>
          <w:rFonts w:ascii="Calibri" w:cs="Calibri" w:eastAsia="Calibri" w:hAnsi="Calibri"/>
          <w:b w:val="false"/>
          <w:bCs w:val="false"/>
          <w:i w:val="false"/>
          <w:iCs w:val="false"/>
          <w:color w:val="6B7280"/>
          <w:sz w:val="21"/>
          <w:szCs w:val="21"/>
        </w:rPr>
        <w:t xml:space="preserve">24 August 2026</w:t>
      </w:r>
    </w:p>
    <w:p>
      <w:pPr>
        <w:spacing w:after="120" w:before="0"/>
      </w:pPr>
      <w:r>
        <w:rPr>
          <w:rFonts w:ascii="Calibri" w:cs="Calibri" w:eastAsia="Calibri" w:hAnsi="Calibri"/>
          <w:b/>
          <w:bCs/>
          <w:i w:val="false"/>
          <w:iCs w:val="false"/>
          <w:color w:val="2E3338"/>
          <w:sz w:val="21"/>
          <w:szCs w:val="21"/>
        </w:rPr>
        <w:t xml:space="preserve">One-line summary. </w:t>
      </w:r>
      <w:r>
        <w:rPr>
          <w:rFonts w:ascii="Calibri" w:cs="Calibri" w:eastAsia="Calibri" w:hAnsi="Calibri"/>
          <w:b w:val="false"/>
          <w:bCs w:val="false"/>
          <w:i w:val="false"/>
          <w:iCs w:val="false"/>
          <w:color w:val="2E3338"/>
          <w:sz w:val="21"/>
          <w:szCs w:val="21"/>
        </w:rPr>
        <w:t xml:space="preserve">The data was normalised into a page-view fact table and a cleaned session table, then audited. Its patterns are consistent with synthetic or heavily randomised test data: key bounded metrics are near-uniform, conversion effects are unstable, and Purchase Value conflicts with Conversion Event. The useful findings are therefore structural and data-quality issues, stated with counts, plus the business metrics that cannot be trusted until tracking is fixed.</w:t>
      </w:r>
    </w:p>
    <w:p>
      <w:r>
        <w:br w:type="page"/>
      </w:r>
    </w:p>
    <w:p>
      <w:pPr>
        <w:pStyle w:val="Heading1"/>
        <w:keepNext/>
        <w:spacing w:after="140" w:before="360"/>
      </w:pPr>
      <w:r>
        <w:rPr>
          <w:rFonts w:ascii="Calibri" w:cs="Calibri" w:eastAsia="Calibri" w:hAnsi="Calibri"/>
          <w:b/>
          <w:bCs/>
          <w:color w:val="3D4B7B"/>
          <w:sz w:val="30"/>
          <w:szCs w:val="30"/>
        </w:rPr>
        <w:t xml:space="preserve">1. Summary of findings</w:t>
      </w:r>
    </w:p>
    <w:p>
      <w:pPr>
        <w:spacing w:after="120" w:before="0"/>
      </w:pPr>
      <w:r>
        <w:rPr>
          <w:rFonts w:ascii="Calibri" w:cs="Calibri" w:eastAsia="Calibri" w:hAnsi="Calibri"/>
          <w:b w:val="false"/>
          <w:bCs w:val="false"/>
          <w:i w:val="false"/>
          <w:iCs w:val="false"/>
          <w:color w:val="2E3338"/>
          <w:sz w:val="21"/>
          <w:szCs w:val="21"/>
        </w:rPr>
        <w:t xml:space="preserve">The brief asks for normalisation and detailed insight. The analysis did not establish a decision-ready behavioural signal; documenting that limitation is more useful than selecting a weak segment.</w:t>
      </w:r>
    </w:p>
    <w:p>
      <w:pPr>
        <w:spacing w:after="120" w:before="0"/>
      </w:pPr>
      <w:r>
        <w:rPr>
          <w:rFonts w:ascii="Calibri" w:cs="Calibri" w:eastAsia="Calibri" w:hAnsi="Calibri"/>
          <w:b w:val="false"/>
          <w:bCs w:val="false"/>
          <w:i w:val="false"/>
          <w:iCs w:val="false"/>
          <w:color w:val="2E3338"/>
          <w:sz w:val="21"/>
          <w:szCs w:val="21"/>
        </w:rPr>
        <w:t xml:space="preserve">Channel purchase rates range from 26.1% (Organic Search) to 33.9% (Email), but their 95% intervals overlap and the channel test returns p = 0.177. Device, observed visitor type, session depth, cart reach, hour and month likewise provide no stable association in this sample.</w:t>
      </w:r>
    </w:p>
    <w:p>
      <w:pPr>
        <w:spacing w:after="120" w:before="0"/>
      </w:pPr>
      <w:r>
        <w:rPr>
          <w:rFonts w:ascii="Calibri" w:cs="Calibri" w:eastAsia="Calibri" w:hAnsi="Calibri"/>
          <w:b w:val="false"/>
          <w:bCs w:val="false"/>
          <w:i w:val="false"/>
          <w:iCs w:val="false"/>
          <w:color w:val="2E3338"/>
          <w:sz w:val="21"/>
          <w:szCs w:val="21"/>
        </w:rPr>
        <w:t xml:space="preserve">What the data does support is set out below: a grain the source did not have, ten internal contradictions quantified across 970 of the 1,000 sessions, and a clear statement of which metrics are unusable and why.</w:t>
      </w:r>
    </w:p>
    <w:p>
      <w:pPr>
        <w:pStyle w:val="Heading2"/>
        <w:keepNext/>
        <w:spacing w:after="100" w:before="240"/>
      </w:pPr>
      <w:r>
        <w:rPr>
          <w:rFonts w:ascii="Calibri" w:cs="Calibri" w:eastAsia="Calibri" w:hAnsi="Calibri"/>
          <w:b/>
          <w:bCs/>
          <w:color w:val="2E3338"/>
          <w:sz w:val="24"/>
          <w:szCs w:val="24"/>
        </w:rPr>
        <w:t xml:space="preserve">The five findings that matter</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500"/>
        <w:gridCol w:w="3400"/>
        <w:gridCol w:w="5800"/>
      </w:tblGrid>
      <w:tr>
        <w:trPr>
          <w:tblHeader/>
        </w:trPr>
        <w:tc>
          <w:tcPr>
            <w:tcW w:type="dxa" w:w="5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t>
            </w:r>
          </w:p>
        </w:tc>
        <w:tc>
          <w:tcPr>
            <w:tcW w:type="dxa" w:w="34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Finding</w:t>
            </w:r>
          </w:p>
        </w:tc>
        <w:tc>
          <w:tcPr>
            <w:tcW w:type="dxa" w:w="58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Evidence</w:t>
            </w:r>
          </w:p>
        </w:tc>
      </w:tr>
      <w:tr>
        <w:tc>
          <w:tcPr>
            <w:tcW w:type="dxa" w:w="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w:t>
            </w:r>
          </w:p>
        </w:tc>
        <w:tc>
          <w:tcPr>
            <w:tcW w:type="dxa" w:w="3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Confirmed revenue cannot be computed from this data because Purchase Value conflicts with Conversion Event in both directions.</w:t>
            </w:r>
          </w:p>
        </w:tc>
        <w:tc>
          <w:tcPr>
            <w:tcW w:type="dxa" w:w="5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Three explicit attribution rules produce 24,622.18 / 53,943.45 / 85,005.26 — a 3.45x spread. 200 of 303 purchase records carry 0.00; 121 sessions not marked Purchased carry 31,061.81.</w:t>
            </w:r>
          </w:p>
        </w:tc>
      </w:tr>
      <w:tr>
        <w:tc>
          <w:tcPr>
            <w:tcW w:type="dxa" w:w="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w:t>
            </w:r>
          </w:p>
        </w:tc>
        <w:tc>
          <w:tcPr>
            <w:tcW w:type="dxa" w:w="3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clickstream contradicts the event columns.</w:t>
            </w:r>
          </w:p>
        </w:tc>
        <w:tc>
          <w:tcPr>
            <w:tcW w:type="dxa" w:w="5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123 purchases and 143 add-to-cart sessions never visited the cart page; 279 sessions record a cart Add or Remove without one.</w:t>
            </w:r>
          </w:p>
        </w:tc>
      </w:tr>
      <w:tr>
        <w:tc>
          <w:tcPr>
            <w:tcW w:type="dxa" w:w="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w:t>
            </w:r>
          </w:p>
        </w:tc>
        <w:tc>
          <w:tcPr>
            <w:tcW w:type="dxa" w:w="3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Country and City do not form a reliable location pair.</w:t>
            </w:r>
          </w:p>
        </w:tc>
        <w:tc>
          <w:tcPr>
            <w:tcW w:type="dxa" w:w="5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Only 224 of 1,000 sessions (22.4%) match the working city-country lookup; chi-square p = 0.652 provides no evidence of association in this sample.</w:t>
            </w:r>
          </w:p>
        </w:tc>
      </w:tr>
      <w:tr>
        <w:tc>
          <w:tcPr>
            <w:tcW w:type="dxa" w:w="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4</w:t>
            </w:r>
          </w:p>
        </w:tc>
        <w:tc>
          <w:tcPr>
            <w:tcW w:type="dxa" w:w="3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browsing paths are not journeys.</w:t>
            </w:r>
          </w:p>
        </w:tc>
        <w:tc>
          <w:tcPr>
            <w:tcW w:type="dxa" w:w="5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page is repeated within a source path array, 836 of 1,000 sessions do not start on the landing page, and 151 start on the cart page.</w:t>
            </w:r>
          </w:p>
        </w:tc>
      </w:tr>
      <w:tr>
        <w:tc>
          <w:tcPr>
            <w:tcW w:type="dxa" w:w="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w:t>
            </w:r>
          </w:p>
        </w:tc>
        <w:tc>
          <w:tcPr>
            <w:tcW w:type="dxa" w:w="3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stable, decision-ready conversion driver was established in the tested dimensions.</w:t>
            </w:r>
          </w:p>
        </w:tc>
        <w:tc>
          <w:tcPr>
            <w:tcW w:type="dxa" w:w="5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Twelve exploratory comparisons were screened; the smallest p-value is 0.028 against a family-wise threshold of 0.0042. The strongest contrast is not consistent across the two within-sample half-year periods.</w:t>
            </w:r>
          </w:p>
        </w:tc>
      </w:tr>
    </w:tbl>
    <w:p>
      <w:pPr>
        <w:spacing w:after="200"/>
      </w:pPr>
    </w:p>
    <w:p>
      <w:pPr>
        <w:spacing w:after="160" w:before="0"/>
      </w:pPr>
      <w:r>
        <w:rPr>
          <w:rFonts w:ascii="Calibri" w:cs="Calibri" w:eastAsia="Calibri" w:hAnsi="Calibri"/>
          <w:b w:val="false"/>
          <w:bCs w:val="false"/>
          <w:i/>
          <w:iCs/>
          <w:color w:val="6B7280"/>
          <w:sz w:val="19"/>
          <w:szCs w:val="19"/>
        </w:rPr>
        <w:t xml:space="preserve">Every figure in this document was re-derived from the delivered workbook and cross-checked against an independent implementation. Section 10 describes how.</w:t>
      </w:r>
    </w:p>
    <w:p>
      <w:pPr>
        <w:pStyle w:val="Heading1"/>
        <w:keepNext/>
        <w:spacing w:after="140" w:before="360"/>
      </w:pPr>
      <w:r>
        <w:rPr>
          <w:rFonts w:ascii="Calibri" w:cs="Calibri" w:eastAsia="Calibri" w:hAnsi="Calibri"/>
          <w:b/>
          <w:bCs/>
          <w:color w:val="3D4B7B"/>
          <w:sz w:val="30"/>
          <w:szCs w:val="30"/>
        </w:rPr>
        <w:t xml:space="preserve">2. What was delivered</w:t>
      </w:r>
    </w:p>
    <w:p>
      <w:pPr>
        <w:spacing w:after="120" w:before="0"/>
      </w:pPr>
      <w:r>
        <w:rPr>
          <w:rFonts w:ascii="Calibri" w:cs="Calibri" w:eastAsia="Calibri" w:hAnsi="Calibri"/>
          <w:b w:val="false"/>
          <w:bCs w:val="false"/>
          <w:i w:val="false"/>
          <w:iCs w:val="false"/>
          <w:color w:val="2E3338"/>
          <w:sz w:val="21"/>
          <w:szCs w:val="21"/>
        </w:rPr>
        <w:t xml:space="preserve">The workbook has ten tabs. The source tab is never modified; everything else is rebuilt from scratch by the two scripts, so any tab can be deleted and regenerated.</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1500"/>
        <w:gridCol w:w="1000"/>
        <w:gridCol w:w="1100"/>
        <w:gridCol w:w="6100"/>
      </w:tblGrid>
      <w:tr>
        <w:trPr>
          <w:tblHeader/>
        </w:trPr>
        <w:tc>
          <w:tcPr>
            <w:tcW w:type="dxa" w:w="15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Tab</w:t>
            </w:r>
          </w:p>
        </w:tc>
        <w:tc>
          <w:tcPr>
            <w:tcW w:type="dxa" w:w="10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Grain</w:t>
            </w:r>
          </w:p>
        </w:tc>
        <w:tc>
          <w:tcPr>
            <w:tcW w:type="dxa" w:w="11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Size</w:t>
            </w:r>
          </w:p>
        </w:tc>
        <w:tc>
          <w:tcPr>
            <w:tcW w:type="dxa" w:w="61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Contents</w:t>
            </w:r>
          </w:p>
        </w:tc>
      </w:tr>
      <w:tr>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raw_data</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w:t>
            </w:r>
          </w:p>
        </w:tc>
        <w:tc>
          <w:tcPr>
            <w:tcW w:type="dxa" w:w="1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1,000 x 13</w:t>
            </w:r>
          </w:p>
        </w:tc>
        <w:tc>
          <w:tcPr>
            <w:tcW w:type="dxa" w:w="6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untouched copy of the source sheet. Read-only for every script.</w:t>
            </w:r>
          </w:p>
        </w:tc>
      </w:tr>
      <w:tr>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w:t>
            </w:r>
          </w:p>
        </w:tc>
        <w:tc>
          <w:tcPr>
            <w:tcW w:type="dxa" w:w="1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1,000 x 37</w:t>
            </w:r>
          </w:p>
        </w:tc>
        <w:tc>
          <w:tcPr>
            <w:tcW w:type="dxa" w:w="6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Cleaned attributes, derived date parts, observed visitor type, session aggregates, data-quality flags.</w:t>
            </w:r>
          </w:p>
        </w:tc>
      </w:tr>
      <w:tr>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page_views</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view</w:t>
            </w:r>
          </w:p>
        </w:tc>
        <w:tc>
          <w:tcPr>
            <w:tcW w:type="dxa" w:w="1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3,500 x 21</w:t>
            </w:r>
          </w:p>
        </w:tc>
        <w:tc>
          <w:tcPr>
            <w:tcW w:type="dxa" w:w="6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three array columns split by position — the grain the analysis needs.</w:t>
            </w:r>
          </w:p>
        </w:tc>
      </w:tr>
      <w:tr>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dim_page</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w:t>
            </w:r>
          </w:p>
        </w:tc>
        <w:tc>
          <w:tcPr>
            <w:tcW w:type="dxa" w:w="1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6 x 5</w:t>
            </w:r>
          </w:p>
        </w:tc>
        <w:tc>
          <w:tcPr>
            <w:tcW w:type="dxa" w:w="6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dictionary: code, name, type, funnel stage, sort order.</w:t>
            </w:r>
          </w:p>
        </w:tc>
      </w:tr>
      <w:tr>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dim_lookup</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mapping</w:t>
            </w:r>
          </w:p>
        </w:tc>
        <w:tc>
          <w:tcPr>
            <w:tcW w:type="dxa" w:w="1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36 x 5</w:t>
            </w:r>
          </w:p>
        </w:tc>
        <w:tc>
          <w:tcPr>
            <w:tcW w:type="dxa" w:w="6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Every raw value that occurs, what it became, and how many rows it covers.</w:t>
            </w:r>
          </w:p>
        </w:tc>
      </w:tr>
      <w:tr>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qa_report</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audit</w:t>
            </w:r>
          </w:p>
        </w:tc>
        <w:tc>
          <w:tcPr>
            <w:tcW w:type="dxa" w:w="1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~580 rows</w:t>
            </w:r>
          </w:p>
        </w:tc>
        <w:tc>
          <w:tcPr>
            <w:tcW w:type="dxa" w:w="6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Reconciliation, measured ranges, 11 checks with severity and share, 42 self-test assertions.</w:t>
            </w:r>
          </w:p>
        </w:tc>
      </w:tr>
      <w:tr>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pivot_sessions</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t>
            </w:r>
          </w:p>
        </w:tc>
        <w:tc>
          <w:tcPr>
            <w:tcW w:type="dxa" w:w="1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13 pivots</w:t>
            </w:r>
          </w:p>
        </w:tc>
        <w:tc>
          <w:tcPr>
            <w:tcW w:type="dxa" w:w="6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Session-level pivot tables, each with the question it answers written above it.</w:t>
            </w:r>
          </w:p>
        </w:tc>
      </w:tr>
      <w:tr>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pivot_pages</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t>
            </w:r>
          </w:p>
        </w:tc>
        <w:tc>
          <w:tcPr>
            <w:tcW w:type="dxa" w:w="1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 pivots</w:t>
            </w:r>
          </w:p>
        </w:tc>
        <w:tc>
          <w:tcPr>
            <w:tcW w:type="dxa" w:w="6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Page-view-level pivot tables.</w:t>
            </w:r>
          </w:p>
        </w:tc>
      </w:tr>
      <w:tr>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analysis</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t>
            </w:r>
          </w:p>
        </w:tc>
        <w:tc>
          <w:tcPr>
            <w:tcW w:type="dxa" w:w="1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16 blocks</w:t>
            </w:r>
          </w:p>
        </w:tc>
        <w:tc>
          <w:tcPr>
            <w:tcW w:type="dxa" w:w="6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Confidence intervals, core chi-square tests, z-test, within-sample temporal split, correlations, uniformity checks and recorded-value rules. Inferential tests and selected rates are live formulas; descriptive blocks rebuild from source.</w:t>
            </w:r>
          </w:p>
        </w:tc>
      </w:tr>
      <w:tr>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charts</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t>
            </w:r>
          </w:p>
        </w:tc>
        <w:tc>
          <w:tcPr>
            <w:tcW w:type="dxa" w:w="1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9 charts</w:t>
            </w:r>
          </w:p>
        </w:tc>
        <w:tc>
          <w:tcPr>
            <w:tcW w:type="dxa" w:w="6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charts, each captioned with a concise interpretation and relevant limitation.</w:t>
            </w:r>
          </w:p>
        </w:tc>
      </w:tr>
    </w:tbl>
    <w:p>
      <w:pPr>
        <w:spacing w:after="200"/>
      </w:pPr>
    </w:p>
    <w:p>
      <w:pPr>
        <w:pStyle w:val="Heading2"/>
        <w:keepNext/>
        <w:spacing w:after="100" w:before="240"/>
      </w:pPr>
      <w:r>
        <w:rPr>
          <w:rFonts w:ascii="Calibri" w:cs="Calibri" w:eastAsia="Calibri" w:hAnsi="Calibri"/>
          <w:b/>
          <w:bCs/>
          <w:color w:val="2E3338"/>
          <w:sz w:val="24"/>
          <w:szCs w:val="24"/>
        </w:rPr>
        <w:t xml:space="preserve">How it is built and how to re-run it</w:t>
      </w:r>
    </w:p>
    <w:p>
      <w:pPr>
        <w:spacing w:after="120" w:before="0"/>
      </w:pPr>
      <w:r>
        <w:rPr>
          <w:rFonts w:ascii="Calibri" w:cs="Calibri" w:eastAsia="Calibri" w:hAnsi="Calibri"/>
          <w:b w:val="false"/>
          <w:bCs w:val="false"/>
          <w:i w:val="false"/>
          <w:iCs w:val="false"/>
          <w:color w:val="2E3338"/>
          <w:sz w:val="21"/>
          <w:szCs w:val="21"/>
        </w:rPr>
        <w:t xml:space="preserve">All manipulation is done in Google Apps Script; nothing was corrected or split by hand, as the brief requires. Both files are in the workbook (Extensions → Apps Script) and are run from the Bulls Media menu.</w:t>
      </w:r>
    </w:p>
    <w:p>
      <w:pPr>
        <w:pStyle w:val="ListParagraph"/>
        <w:numPr>
          <w:ilvl w:val="0"/>
          <w:numId w:val="2"/>
        </w:numPr>
        <w:spacing w:after="60"/>
      </w:pPr>
      <w:r>
        <w:rPr>
          <w:rFonts w:ascii="Calibri" w:cs="Calibri" w:eastAsia="Calibri" w:hAnsi="Calibri"/>
          <w:b/>
          <w:bCs/>
          <w:i w:val="false"/>
          <w:iCs w:val="false"/>
          <w:color w:val="2E3338"/>
          <w:sz w:val="21"/>
          <w:szCs w:val="21"/>
        </w:rPr>
        <w:t xml:space="preserve">normalize.gs</w:t>
      </w:r>
      <w:r>
        <w:rPr>
          <w:rFonts w:ascii="Calibri" w:cs="Calibri" w:eastAsia="Calibri" w:hAnsi="Calibri"/>
          <w:b w:val="false"/>
          <w:bCs w:val="false"/>
          <w:i w:val="false"/>
          <w:iCs w:val="false"/>
          <w:color w:val="2E3338"/>
          <w:sz w:val="21"/>
          <w:szCs w:val="21"/>
        </w:rPr>
        <w:t xml:space="preserve"> — reads raw_data, splits the arrays, cleans the categorical columns, audits the result and writes the five data tabs.</w:t>
      </w:r>
    </w:p>
    <w:p>
      <w:pPr>
        <w:pStyle w:val="ListParagraph"/>
        <w:numPr>
          <w:ilvl w:val="0"/>
          <w:numId w:val="2"/>
        </w:numPr>
        <w:spacing w:after="60"/>
      </w:pPr>
      <w:r>
        <w:rPr>
          <w:rFonts w:ascii="Calibri" w:cs="Calibri" w:eastAsia="Calibri" w:hAnsi="Calibri"/>
          <w:b/>
          <w:bCs/>
          <w:i w:val="false"/>
          <w:iCs w:val="false"/>
          <w:color w:val="2E3338"/>
          <w:sz w:val="21"/>
          <w:szCs w:val="21"/>
        </w:rPr>
        <w:t xml:space="preserve">analysis.gs</w:t>
      </w:r>
      <w:r>
        <w:rPr>
          <w:rFonts w:ascii="Calibri" w:cs="Calibri" w:eastAsia="Calibri" w:hAnsi="Calibri"/>
          <w:b w:val="false"/>
          <w:bCs w:val="false"/>
          <w:i w:val="false"/>
          <w:iCs w:val="false"/>
          <w:color w:val="2E3338"/>
          <w:sz w:val="21"/>
          <w:szCs w:val="21"/>
        </w:rPr>
        <w:t xml:space="preserve"> — reads sessions and page_views and writes the pivots, analysis blocks and charts.</w:t>
      </w:r>
    </w:p>
    <w:p>
      <w:pPr>
        <w:spacing w:after="120" w:before="120"/>
      </w:pPr>
      <w:r>
        <w:rPr>
          <w:rFonts w:ascii="Calibri" w:cs="Calibri" w:eastAsia="Calibri" w:hAnsi="Calibri"/>
          <w:b w:val="false"/>
          <w:bCs w:val="false"/>
          <w:i w:val="false"/>
          <w:iCs w:val="false"/>
          <w:color w:val="2E3338"/>
          <w:sz w:val="21"/>
          <w:szCs w:val="21"/>
        </w:rPr>
        <w:t xml:space="preserve">Both scripts are idempotent: output tabs are rebuilt and existing pivots/charts are removed before recreation. Tabs are written sequentially rather than transactionally, while raw_data remains read-only. "Rebuild everything" runs them in dependency order.</w:t>
      </w:r>
    </w:p>
    <w:p>
      <w:pPr>
        <w:pStyle w:val="Heading1"/>
        <w:keepNext/>
        <w:spacing w:after="140" w:before="360"/>
      </w:pPr>
      <w:r>
        <w:rPr>
          <w:rFonts w:ascii="Calibri" w:cs="Calibri" w:eastAsia="Calibri" w:hAnsi="Calibri"/>
          <w:b/>
          <w:bCs/>
          <w:color w:val="3D4B7B"/>
          <w:sz w:val="30"/>
          <w:szCs w:val="30"/>
        </w:rPr>
        <w:t xml:space="preserve">3. How the data was normalised</w:t>
      </w:r>
    </w:p>
    <w:p>
      <w:pPr>
        <w:pStyle w:val="Heading2"/>
        <w:keepNext/>
        <w:spacing w:after="100" w:before="240"/>
      </w:pPr>
      <w:r>
        <w:rPr>
          <w:rFonts w:ascii="Calibri" w:cs="Calibri" w:eastAsia="Calibri" w:hAnsi="Calibri"/>
          <w:b/>
          <w:bCs/>
          <w:color w:val="2E3338"/>
          <w:sz w:val="24"/>
          <w:szCs w:val="24"/>
        </w:rPr>
        <w:t xml:space="preserve">3.1 The positional split — the core of the task</w:t>
      </w:r>
    </w:p>
    <w:p>
      <w:pPr>
        <w:spacing w:after="120" w:before="0"/>
      </w:pPr>
      <w:r>
        <w:rPr>
          <w:rFonts w:ascii="Calibri" w:cs="Calibri" w:eastAsia="Calibri" w:hAnsi="Calibri"/>
          <w:b w:val="false"/>
          <w:bCs w:val="false"/>
          <w:i w:val="false"/>
          <w:iCs w:val="false"/>
          <w:color w:val="2E3338"/>
          <w:sz w:val="21"/>
          <w:szCs w:val="21"/>
        </w:rPr>
        <w:t xml:space="preserve">The brief's closing note is the whole exercise: Browsing Path, Page Interaction and Time per Page are three arrays inside single cells, linked by position. That means the natural grain of this data is not the session — it is the page view. Seconds on page, clicks and scrolls only exist at that grain, and no pivot table can reach them while they are trapped in a string.</w:t>
      </w:r>
    </w:p>
    <w:p>
      <w:pPr>
        <w:spacing w:after="120" w:before="0"/>
      </w:pPr>
      <w:r>
        <w:rPr>
          <w:rFonts w:ascii="Calibri" w:cs="Calibri" w:eastAsia="Calibri" w:hAnsi="Calibri"/>
          <w:b w:val="false"/>
          <w:bCs w:val="false"/>
          <w:i w:val="false"/>
          <w:iCs w:val="false"/>
          <w:color w:val="2E3338"/>
          <w:sz w:val="21"/>
          <w:szCs w:val="21"/>
        </w:rPr>
        <w:t xml:space="preserve">1,000 sessions expand to 3,500 page views. Browsing Path is parsed with a regular expression over quoted tokens (tolerant of either quote style and a trailing comma); Page Interaction and Time per Page are valid JSON and are parsed as such. The three lengths must be equal — that is the contract the positional link implies. If they ever differ the session is skipped and reported rather than guessed at, because there would be no way to know which page a metric belongs to. In this dataset they matched on all 1,000 rows.</w:t>
      </w:r>
    </w:p>
    <w:p>
      <w:pPr>
        <w:spacing w:after="120" w:before="0"/>
      </w:pPr>
      <w:r>
        <w:rPr>
          <w:rFonts w:ascii="Calibri" w:cs="Calibri" w:eastAsia="Calibri" w:hAnsi="Calibri"/>
          <w:b w:val="false"/>
          <w:bCs w:val="false"/>
          <w:i w:val="false"/>
          <w:iCs w:val="false"/>
          <w:color w:val="2E3338"/>
          <w:sz w:val="21"/>
          <w:szCs w:val="21"/>
        </w:rPr>
        <w:t xml:space="preserve">Both grains are kept. sessions answers "how many visits converted"; page_views answers "what happened on this page". Collapsing to one would lose one of the two questions.</w:t>
      </w:r>
    </w:p>
    <w:p>
      <w:pPr>
        <w:pStyle w:val="Heading2"/>
        <w:keepNext/>
        <w:spacing w:after="100" w:before="240"/>
      </w:pPr>
      <w:r>
        <w:rPr>
          <w:rFonts w:ascii="Calibri" w:cs="Calibri" w:eastAsia="Calibri" w:hAnsi="Calibri"/>
          <w:b/>
          <w:bCs/>
          <w:color w:val="2E3338"/>
          <w:sz w:val="24"/>
          <w:szCs w:val="24"/>
        </w:rPr>
        <w:t xml:space="preserve">3.2 Cleaning the categorical columns</w:t>
      </w:r>
    </w:p>
    <w:p>
      <w:pPr>
        <w:spacing w:after="120" w:before="0"/>
      </w:pPr>
      <w:r>
        <w:rPr>
          <w:rFonts w:ascii="Calibri" w:cs="Calibri" w:eastAsia="Calibri" w:hAnsi="Calibri"/>
          <w:b w:val="false"/>
          <w:bCs w:val="false"/>
          <w:i w:val="false"/>
          <w:iCs w:val="false"/>
          <w:color w:val="2E3338"/>
          <w:sz w:val="21"/>
          <w:szCs w:val="21"/>
        </w:rPr>
        <w:t xml:space="preserve">Splitting the arrays without cleaning the scalar columns would fragment channel and device categories in downstream pivots. Both vocabularies are folded by removing case, spaces, underscores and hyphens, so "Paid Ads", "PaidAds" and "paid_ads" reach the same key. The documented mapping and affected-row counts are on dim_lookup.</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1500"/>
        <w:gridCol w:w="1000"/>
        <w:gridCol w:w="1000"/>
        <w:gridCol w:w="1300"/>
        <w:gridCol w:w="4900"/>
      </w:tblGrid>
      <w:tr>
        <w:trPr>
          <w:tblHeader/>
        </w:trPr>
        <w:tc>
          <w:tcPr>
            <w:tcW w:type="dxa" w:w="15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Column</w:t>
            </w:r>
          </w:p>
        </w:tc>
        <w:tc>
          <w:tcPr>
            <w:tcW w:type="dxa" w:w="10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Before</w:t>
            </w:r>
          </w:p>
        </w:tc>
        <w:tc>
          <w:tcPr>
            <w:tcW w:type="dxa" w:w="10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After</w:t>
            </w:r>
          </w:p>
        </w:tc>
        <w:tc>
          <w:tcPr>
            <w:tcW w:type="dxa" w:w="13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Rows repaired</w:t>
            </w:r>
          </w:p>
        </w:tc>
        <w:tc>
          <w:tcPr>
            <w:tcW w:type="dxa" w:w="49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Variants folded</w:t>
            </w:r>
          </w:p>
        </w:tc>
      </w:tr>
      <w:tr>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Traffic Source</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7 distinct</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4 channels</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31 (3.1%)</w:t>
            </w:r>
          </w:p>
        </w:tc>
        <w:tc>
          <w:tcPr>
            <w:tcW w:type="dxa" w:w="4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Organic → Organic Search (18); PaidAds → Paid Ads (7); email → Email (6)</w:t>
            </w:r>
          </w:p>
        </w:tc>
      </w:tr>
      <w:tr>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Device Type</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7 distinct</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 devices</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82 (8.2%)</w:t>
            </w:r>
          </w:p>
        </w:tc>
        <w:tc>
          <w:tcPr>
            <w:tcW w:type="dxa" w:w="4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 → Desktop (32); tablet → Tablet (25); T → Tablet (15); M → Mobile (10)</w:t>
            </w:r>
          </w:p>
        </w:tc>
      </w:tr>
      <w:tr>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Cart Changes</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 states</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 states</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336 (33.6%)</w:t>
            </w:r>
          </w:p>
        </w:tc>
        <w:tc>
          <w:tcPr>
            <w:tcW w:type="dxa" w:w="4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blank read as "No Change" — a documented assumption, not a repair</w:t>
            </w:r>
          </w:p>
        </w:tc>
      </w:tr>
    </w:tbl>
    <w:p>
      <w:pPr>
        <w:spacing w:after="200"/>
      </w:pPr>
    </w:p>
    <w:p>
      <w:pPr>
        <w:pStyle w:val="Heading2"/>
        <w:keepNext/>
        <w:spacing w:after="100" w:before="240"/>
      </w:pPr>
      <w:r>
        <w:rPr>
          <w:rFonts w:ascii="Calibri" w:cs="Calibri" w:eastAsia="Calibri" w:hAnsi="Calibri"/>
          <w:b/>
          <w:bCs/>
          <w:color w:val="2E3338"/>
          <w:sz w:val="24"/>
          <w:szCs w:val="24"/>
        </w:rPr>
        <w:t xml:space="preserve">3.3 What was deliberately not repaired</w:t>
      </w:r>
    </w:p>
    <w:p>
      <w:pPr>
        <w:spacing w:after="120" w:before="0"/>
      </w:pPr>
      <w:r>
        <w:rPr>
          <w:rFonts w:ascii="Calibri" w:cs="Calibri" w:eastAsia="Calibri" w:hAnsi="Calibri"/>
          <w:b w:val="false"/>
          <w:bCs w:val="false"/>
          <w:i w:val="false"/>
          <w:iCs w:val="false"/>
          <w:color w:val="2E3338"/>
          <w:sz w:val="21"/>
          <w:szCs w:val="21"/>
        </w:rPr>
        <w:t xml:space="preserve">A value outside a documented mapping is kept verbatim and reported. Conflicting fields are flagged rather than overwritten because the export provides no authoritative source. For geography, 776 sessions do not match the working city-country lookup. Both source fields are preserved, the lookup result is recorded for QA, and geography is excluded from segmentation.</w:t>
      </w:r>
    </w:p>
    <w:p>
      <w:pPr>
        <w:pStyle w:val="Heading2"/>
        <w:keepNext/>
        <w:spacing w:after="100" w:before="240"/>
      </w:pPr>
      <w:r>
        <w:rPr>
          <w:rFonts w:ascii="Calibri" w:cs="Calibri" w:eastAsia="Calibri" w:hAnsi="Calibri"/>
          <w:b/>
          <w:bCs/>
          <w:color w:val="2E3338"/>
          <w:sz w:val="24"/>
          <w:szCs w:val="24"/>
        </w:rPr>
        <w:t xml:space="preserve">3.4 Assumptions register</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3000"/>
        <w:gridCol w:w="3300"/>
        <w:gridCol w:w="3400"/>
      </w:tblGrid>
      <w:tr>
        <w:trPr>
          <w:tblHeader/>
        </w:trPr>
        <w:tc>
          <w:tcPr>
            <w:tcW w:type="dxa" w:w="30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Assumption</w:t>
            </w:r>
          </w:p>
        </w:tc>
        <w:tc>
          <w:tcPr>
            <w:tcW w:type="dxa" w:w="33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Why</w:t>
            </w:r>
          </w:p>
        </w:tc>
        <w:tc>
          <w:tcPr>
            <w:tcW w:type="dxa" w:w="34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Effect if wrong</w:t>
            </w:r>
          </w:p>
        </w:tc>
      </w:tr>
      <w:tr>
        <w:tc>
          <w:tcPr>
            <w:tcW w:type="dxa" w:w="3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 blank Cart Changes cell means "no cart interaction", not a lost value.</w:t>
            </w:r>
          </w:p>
        </w:tc>
        <w:tc>
          <w:tcPr>
            <w:tcW w:type="dxa" w:w="3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export offers no way to tell the two apart.</w:t>
            </w:r>
          </w:p>
        </w:tc>
        <w:tc>
          <w:tcPr>
            <w:tcW w:type="dxa" w:w="3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336 sessions would move from "no action" to "unknown"; every cart-related share would need a third category.</w:t>
            </w:r>
          </w:p>
        </w:tc>
      </w:tr>
      <w:tr>
        <w:tc>
          <w:tcPr>
            <w:tcW w:type="dxa" w:w="3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three array columns are positionally linked.</w:t>
            </w:r>
          </w:p>
        </w:tc>
        <w:tc>
          <w:tcPr>
            <w:tcW w:type="dxa" w:w="3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Stated in the brief. Confirmed by equal lengths on all 1,000 rows.</w:t>
            </w:r>
          </w:p>
        </w:tc>
        <w:tc>
          <w:tcPr>
            <w:tcW w:type="dxa" w:w="3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page-view table would be meaningless. This is checked on every run.</w:t>
            </w:r>
          </w:p>
        </w:tc>
      </w:tr>
      <w:tr>
        <w:tc>
          <w:tcPr>
            <w:tcW w:type="dxa" w:w="3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Conversion Event is a single terminal outcome per session.</w:t>
            </w:r>
          </w:p>
        </w:tc>
        <w:tc>
          <w:tcPr>
            <w:tcW w:type="dxa" w:w="3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three values are mutually exclusive in the data.</w:t>
            </w:r>
          </w:p>
        </w:tc>
        <w:tc>
          <w:tcPr>
            <w:tcW w:type="dxa" w:w="3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 could hold several events and would need an event table instead.</w:t>
            </w:r>
          </w:p>
        </w:tc>
      </w:tr>
      <w:tr>
        <w:tc>
          <w:tcPr>
            <w:tcW w:type="dxa" w:w="3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Timestamps are wall-clock in the spreadsheet's time zone.</w:t>
            </w:r>
          </w:p>
        </w:tc>
        <w:tc>
          <w:tcPr>
            <w:tcW w:type="dxa" w:w="3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They reproduce the raw values exactly. The sheet's zone was inherited from the source file.</w:t>
            </w:r>
          </w:p>
        </w:tc>
        <w:tc>
          <w:tcPr>
            <w:tcW w:type="dxa" w:w="3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Every derived date part would shift; the spreadsheet zone must not be changed for this reason.</w:t>
            </w:r>
          </w:p>
        </w:tc>
      </w:tr>
      <w:tr>
        <w:tc>
          <w:tcPr>
            <w:tcW w:type="dxa" w:w="3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Within this extract, the first observed session is labelled "New" and subsequent observed sessions are labelled "Returning".</w:t>
            </w:r>
          </w:p>
        </w:tc>
        <w:tc>
          <w:tcPr>
            <w:tcW w:type="dxa" w:w="3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This is an operational within-extract definition; User ID is the only visitor key available.</w:t>
            </w:r>
          </w:p>
        </w:tc>
        <w:tc>
          <w:tcPr>
            <w:tcW w:type="dxa" w:w="3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If User ID is not a stable person-level key, the 358 repeat-observed sessions cannot be interpreted as returning people.</w:t>
            </w:r>
          </w:p>
        </w:tc>
      </w:tr>
    </w:tbl>
    <w:p>
      <w:pPr>
        <w:pStyle w:val="Heading1"/>
        <w:keepNext/>
        <w:spacing w:after="140" w:before="360"/>
      </w:pPr>
      <w:r>
        <w:rPr>
          <w:rFonts w:ascii="Calibri" w:cs="Calibri" w:eastAsia="Calibri" w:hAnsi="Calibri"/>
          <w:b/>
          <w:bCs/>
          <w:color w:val="3D4B7B"/>
          <w:sz w:val="30"/>
          <w:szCs w:val="30"/>
        </w:rPr>
        <w:t xml:space="preserve">4. Pivot tables, and what each one shows</w:t>
      </w:r>
    </w:p>
    <w:p>
      <w:pPr>
        <w:spacing w:after="120" w:before="0"/>
      </w:pPr>
      <w:r>
        <w:rPr>
          <w:rFonts w:ascii="Calibri" w:cs="Calibri" w:eastAsia="Calibri" w:hAnsi="Calibri"/>
          <w:b w:val="false"/>
          <w:bCs w:val="false"/>
          <w:i w:val="false"/>
          <w:iCs w:val="false"/>
          <w:color w:val="2E3338"/>
          <w:sz w:val="21"/>
          <w:szCs w:val="21"/>
        </w:rPr>
        <w:t xml:space="preserve">Eighteen native pivot tables — live, re-groupable objects, not values pasted by a script. Each carries its question in the cell above it. Percentages are computed by the pivot itself (percent of row), not by a helper column.</w:t>
      </w:r>
    </w:p>
    <w:p>
      <w:pPr>
        <w:pStyle w:val="Heading2"/>
        <w:keepNext/>
        <w:spacing w:after="100" w:before="240"/>
      </w:pPr>
      <w:r>
        <w:rPr>
          <w:rFonts w:ascii="Calibri" w:cs="Calibri" w:eastAsia="Calibri" w:hAnsi="Calibri"/>
          <w:b/>
          <w:bCs/>
          <w:color w:val="2E3338"/>
          <w:sz w:val="24"/>
          <w:szCs w:val="24"/>
        </w:rPr>
        <w:t xml:space="preserve">4.1 Session grain — pivot_sessions</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400"/>
        <w:gridCol w:w="2500"/>
        <w:gridCol w:w="1300"/>
        <w:gridCol w:w="5500"/>
      </w:tblGrid>
      <w:tr>
        <w:trPr>
          <w:tblHeader/>
        </w:trPr>
        <w:tc>
          <w:tcPr>
            <w:tcW w:type="dxa" w:w="4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t>
            </w:r>
          </w:p>
        </w:tc>
        <w:tc>
          <w:tcPr>
            <w:tcW w:type="dxa" w:w="25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Rows x Columns</w:t>
            </w:r>
          </w:p>
        </w:tc>
        <w:tc>
          <w:tcPr>
            <w:tcW w:type="dxa" w:w="13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Value</w:t>
            </w:r>
          </w:p>
        </w:tc>
        <w:tc>
          <w:tcPr>
            <w:tcW w:type="dxa" w:w="55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Question and what it shows</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w:t>
            </w:r>
          </w:p>
        </w:tc>
        <w:tc>
          <w:tcPr>
            <w:tcW w:type="dxa" w:w="2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Traffic Source x Conversion Event</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 of sessions</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Does the channel change the outcome? Purchase rate 26.1–33.9%, all four intervals overlapping.</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w:t>
            </w:r>
          </w:p>
        </w:tc>
        <w:tc>
          <w:tcPr>
            <w:tcW w:type="dxa" w:w="2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Device Type x Conversion Event</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 of sessions</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Tablet has the lowest observed purchase-event rate (24.2% versus 34.6% on Mobile); uncertainty and temporal stability are assessed in section 7.</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w:t>
            </w:r>
          </w:p>
        </w:tc>
        <w:tc>
          <w:tcPr>
            <w:tcW w:type="dxa" w:w="2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Visitor Type x Conversion Event</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 of sessions</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Do repeat-observed visitors buy more within this extract? First observed 30.7%, repeat observed 29.6%; p = 0.930.</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4</w:t>
            </w:r>
          </w:p>
        </w:tc>
        <w:tc>
          <w:tcPr>
            <w:tcW w:type="dxa" w:w="2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Count x Conversion Event</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 of sessions</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Purchase-event rates range from 28.1% to 32.7% across one to six pages; no association is detected.</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w:t>
            </w:r>
          </w:p>
        </w:tc>
        <w:tc>
          <w:tcPr>
            <w:tcW w:type="dxa" w:w="2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Entry Page</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Entry pages range from 151 to 179 sessions across all six page codes, including the cart.</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6</w:t>
            </w:r>
          </w:p>
        </w:tc>
        <w:tc>
          <w:tcPr>
            <w:tcW w:type="dxa" w:w="2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Exit Page</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Where do they end? 144–189 per page. No page is a disproportionate exit.</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7</w:t>
            </w:r>
          </w:p>
        </w:tc>
        <w:tc>
          <w:tcPr>
            <w:tcW w:type="dxa" w:w="2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Conversion Event x positive Purchase Value</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 and value</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Data-quality cross-check: 200 purchase records carry 0.00 and 235 sessions not marked Purchased carry positive value.</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8</w:t>
            </w:r>
          </w:p>
        </w:tc>
        <w:tc>
          <w:tcPr>
            <w:tcW w:type="dxa" w:w="2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Country x City</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Country-city pairings are diffuse; 22.4% match the working lookup and p = 0.652 provides no evidence of association.</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9</w:t>
            </w:r>
          </w:p>
        </w:tc>
        <w:tc>
          <w:tcPr>
            <w:tcW w:type="dxa" w:w="2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 Month</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 value, avg time</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Across the single observed year, monthly volume ranges from 68 to 103 sessions with no pronounced pattern; campaign metadata is unavailable.</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w:t>
            </w:r>
          </w:p>
        </w:tc>
        <w:tc>
          <w:tcPr>
            <w:tcW w:type="dxa" w:w="2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 Weekday</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 value</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Any weekly pattern? Monday 120 to Tuesday 153; no weekend effect is visible.</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11</w:t>
            </w:r>
          </w:p>
        </w:tc>
        <w:tc>
          <w:tcPr>
            <w:tcW w:type="dxa" w:w="2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DQ Severity</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How much of the table is clean? 970 sessions carry at least one warning; 9 are entirely clean.</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12</w:t>
            </w:r>
          </w:p>
        </w:tc>
        <w:tc>
          <w:tcPr>
            <w:tcW w:type="dxa" w:w="2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 Hour</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Hourly volume is unusually even at 30–49 sessions per hour; uniformity test p = 0.732.</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13</w:t>
            </w:r>
          </w:p>
        </w:tc>
        <w:tc>
          <w:tcPr>
            <w:tcW w:type="dxa" w:w="2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Cart Change x Conversion Event</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 of sessions</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Add 29.2% purchased versus Remove 32.4%; the association is not statistically significant (p = 0.098).</w:t>
            </w:r>
          </w:p>
        </w:tc>
      </w:tr>
    </w:tbl>
    <w:p>
      <w:pPr>
        <w:spacing w:after="200"/>
      </w:pPr>
    </w:p>
    <w:p>
      <w:pPr>
        <w:pStyle w:val="Heading2"/>
        <w:keepNext/>
        <w:spacing w:after="100" w:before="240"/>
      </w:pPr>
      <w:r>
        <w:rPr>
          <w:rFonts w:ascii="Calibri" w:cs="Calibri" w:eastAsia="Calibri" w:hAnsi="Calibri"/>
          <w:b/>
          <w:bCs/>
          <w:color w:val="2E3338"/>
          <w:sz w:val="24"/>
          <w:szCs w:val="24"/>
        </w:rPr>
        <w:t xml:space="preserve">4.2 Page-view grain — pivot_pages</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400"/>
        <w:gridCol w:w="2200"/>
        <w:gridCol w:w="1600"/>
        <w:gridCol w:w="5500"/>
      </w:tblGrid>
      <w:tr>
        <w:trPr>
          <w:tblHeader/>
        </w:trPr>
        <w:tc>
          <w:tcPr>
            <w:tcW w:type="dxa" w:w="4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t>
            </w:r>
          </w:p>
        </w:tc>
        <w:tc>
          <w:tcPr>
            <w:tcW w:type="dxa" w:w="2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Rows x Columns</w:t>
            </w:r>
          </w:p>
        </w:tc>
        <w:tc>
          <w:tcPr>
            <w:tcW w:type="dxa" w:w="16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Value</w:t>
            </w:r>
          </w:p>
        </w:tc>
        <w:tc>
          <w:tcPr>
            <w:tcW w:type="dxa" w:w="55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Question and what it shows</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14</w:t>
            </w:r>
          </w:p>
        </w:tc>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Funnel Stage → Page Name</w:t>
            </w:r>
          </w:p>
        </w:tc>
        <w:tc>
          <w:tcPr>
            <w:tcW w:type="dxa" w:w="1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views, avg seconds, clicks, scrolls</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Which page holds attention? 566–595 views and 63.2–68.9 seconds each — a five-second spread over ~580 observations per page.</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15</w:t>
            </w:r>
          </w:p>
        </w:tc>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Name x Device Type</w:t>
            </w:r>
          </w:p>
        </w:tc>
        <w:tc>
          <w:tcPr>
            <w:tcW w:type="dxa" w:w="1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avg seconds</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Recorded time per page is similar across devices, with cells close to the ~65 second average.</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16</w:t>
            </w:r>
          </w:p>
        </w:tc>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Code x Next Page</w:t>
            </w:r>
          </w:p>
        </w:tc>
        <w:tc>
          <w:tcPr>
            <w:tcW w:type="dxa" w:w="1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views</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Where does a visitor go next? Off-diagonal cells hold 62–100 views; the empty diagonal shows no immediate self-transition — see section 6.4.</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17</w:t>
            </w:r>
          </w:p>
        </w:tc>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Position in path</w:t>
            </w:r>
          </w:p>
        </w:tc>
        <w:tc>
          <w:tcPr>
            <w:tcW w:type="dxa" w:w="1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views, avg seconds</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Recorded time is 66.4 seconds at position one and 64.6 at position six; page-view counts fall 1,000 → 831 → 679 → 508 → 330 → 152.</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18</w:t>
            </w:r>
          </w:p>
        </w:tc>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Type x Conversion Event</w:t>
            </w:r>
          </w:p>
        </w:tc>
        <w:tc>
          <w:tcPr>
            <w:tcW w:type="dxa" w:w="1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 of page views</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Purchase-event shares are similar with and without cart-page reach (p = 0.867).</w:t>
            </w:r>
          </w:p>
        </w:tc>
      </w:tr>
    </w:tbl>
    <w:p>
      <w:pPr>
        <w:pStyle w:val="Heading1"/>
        <w:keepNext/>
        <w:spacing w:after="140" w:before="360"/>
      </w:pPr>
      <w:r>
        <w:rPr>
          <w:rFonts w:ascii="Calibri" w:cs="Calibri" w:eastAsia="Calibri" w:hAnsi="Calibri"/>
          <w:b/>
          <w:bCs/>
          <w:color w:val="3D4B7B"/>
          <w:sz w:val="30"/>
          <w:szCs w:val="30"/>
        </w:rPr>
        <w:t xml:space="preserve">5. Charts, and what each one shows</w:t>
      </w:r>
    </w:p>
    <w:p>
      <w:pPr>
        <w:spacing w:after="120" w:before="0"/>
      </w:pPr>
      <w:r>
        <w:rPr>
          <w:rFonts w:ascii="Calibri" w:cs="Calibri" w:eastAsia="Calibri" w:hAnsi="Calibri"/>
          <w:b w:val="false"/>
          <w:bCs w:val="false"/>
          <w:i w:val="false"/>
          <w:iCs w:val="false"/>
          <w:color w:val="2E3338"/>
          <w:sz w:val="21"/>
          <w:szCs w:val="21"/>
        </w:rPr>
        <w:t xml:space="preserve">Nine charts read from stable blocks on the analysis tab rather than variable-height pivot outputs. Each chart is captioned with a concise interpretation and relevant limitation.</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400"/>
        <w:gridCol w:w="2600"/>
        <w:gridCol w:w="1700"/>
        <w:gridCol w:w="5000"/>
      </w:tblGrid>
      <w:tr>
        <w:trPr>
          <w:tblHeader/>
        </w:trPr>
        <w:tc>
          <w:tcPr>
            <w:tcW w:type="dxa" w:w="4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t>
            </w:r>
          </w:p>
        </w:tc>
        <w:tc>
          <w:tcPr>
            <w:tcW w:type="dxa" w:w="26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Chart</w:t>
            </w:r>
          </w:p>
        </w:tc>
        <w:tc>
          <w:tcPr>
            <w:tcW w:type="dxa" w:w="17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Type</w:t>
            </w:r>
          </w:p>
        </w:tc>
        <w:tc>
          <w:tcPr>
            <w:tcW w:type="dxa" w:w="50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What it shows</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w:t>
            </w:r>
          </w:p>
        </w:tc>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Conversion mix by traffic channel</w:t>
            </w:r>
          </w:p>
        </w:tc>
        <w:tc>
          <w:tcPr>
            <w:tcW w:type="dxa" w:w="17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100% stacked column</w:t>
            </w:r>
          </w:p>
        </w:tc>
        <w:tc>
          <w:tcPr>
            <w:tcW w:type="dxa" w:w="5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Channel conversion mixes are similar; statistical results are in the analysis tab.</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w:t>
            </w:r>
          </w:p>
        </w:tc>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Conversion mix by device type</w:t>
            </w:r>
          </w:p>
        </w:tc>
        <w:tc>
          <w:tcPr>
            <w:tcW w:type="dxa" w:w="17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100% stacked column</w:t>
            </w:r>
          </w:p>
        </w:tc>
        <w:tc>
          <w:tcPr>
            <w:tcW w:type="dxa" w:w="5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Tablet has the smallest observed purchased share; uncertainty and temporal stability are shown in section 7.</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w:t>
            </w:r>
          </w:p>
        </w:tc>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 rate by device with 95% bounds</w:t>
            </w:r>
          </w:p>
        </w:tc>
        <w:tc>
          <w:tcPr>
            <w:tcW w:type="dxa" w:w="17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column, low–estimate–high</w:t>
            </w:r>
          </w:p>
        </w:tc>
        <w:tc>
          <w:tcPr>
            <w:tcW w:type="dxa" w:w="5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Sheets has no error bars, so the interval is drawn as its own pair of pale bars. Tablet's upper bound (29.0%) sits above Desktop's lower bound (27.6%).</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4</w:t>
            </w:r>
          </w:p>
        </w:tc>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views and average seconds per page</w:t>
            </w:r>
          </w:p>
        </w:tc>
        <w:tc>
          <w:tcPr>
            <w:tcW w:type="dxa" w:w="17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combo, dual axis</w:t>
            </w:r>
          </w:p>
        </w:tc>
        <w:tc>
          <w:tcPr>
            <w:tcW w:type="dxa" w:w="5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Page-view volume and average time are similar across pages; funnel interpretation is limited by non-canonical paths.</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w:t>
            </w:r>
          </w:p>
        </w:tc>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 by month</w:t>
            </w:r>
          </w:p>
        </w:tc>
        <w:tc>
          <w:tcPr>
            <w:tcW w:type="dxa" w:w="17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line</w:t>
            </w:r>
          </w:p>
        </w:tc>
        <w:tc>
          <w:tcPr>
            <w:tcW w:type="dxa" w:w="5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pronounced month-to-month pattern is visible within the single observed year.</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6</w:t>
            </w:r>
          </w:p>
        </w:tc>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 by hour of day</w:t>
            </w:r>
          </w:p>
        </w:tc>
        <w:tc>
          <w:tcPr>
            <w:tcW w:type="dxa" w:w="17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column</w:t>
            </w:r>
          </w:p>
        </w:tc>
        <w:tc>
          <w:tcPr>
            <w:tcW w:type="dxa" w:w="5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Recorded sessions are nearly uniform by hour; validate timestamp generation.</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7</w:t>
            </w:r>
          </w:p>
        </w:tc>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Sessions by depth</w:t>
            </w:r>
          </w:p>
        </w:tc>
        <w:tc>
          <w:tcPr>
            <w:tcW w:type="dxa" w:w="17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column</w:t>
            </w:r>
          </w:p>
        </w:tc>
        <w:tc>
          <w:tcPr>
            <w:tcW w:type="dxa" w:w="5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One to six pages occur at 152–178 sessions each; depth is unusually even.</w:t>
            </w:r>
          </w:p>
        </w:tc>
      </w:tr>
      <w:tr>
        <w:tc>
          <w:tcPr>
            <w:tcW w:type="dxa" w:w="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8</w:t>
            </w:r>
          </w:p>
        </w:tc>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Clicks against seconds, per page view</w:t>
            </w:r>
          </w:p>
        </w:tc>
        <w:tc>
          <w:tcPr>
            <w:tcW w:type="dxa" w:w="17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scatter, 3,500 points</w:t>
            </w:r>
          </w:p>
        </w:tc>
        <w:tc>
          <w:tcPr>
            <w:tcW w:type="dxa" w:w="5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Almost no linear correlation is visible (r = -0.009).</w:t>
            </w:r>
          </w:p>
        </w:tc>
      </w:tr>
      <w:tr>
        <w:tc>
          <w:tcPr>
            <w:tcW w:type="dxa" w:w="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9</w:t>
            </w:r>
          </w:p>
        </w:tc>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Data-quality findings by share of sessions</w:t>
            </w:r>
          </w:p>
        </w:tc>
        <w:tc>
          <w:tcPr>
            <w:tcW w:type="dxa" w:w="17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sorted bar</w:t>
            </w:r>
          </w:p>
        </w:tc>
        <w:tc>
          <w:tcPr>
            <w:tcW w:type="dxa" w:w="5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Ten findings affect 3.1% to 77.6% of sessions. High-share flags indicate tracking or data-contract issues rather than isolated row repairs.</w:t>
            </w:r>
          </w:p>
        </w:tc>
      </w:tr>
    </w:tbl>
    <w:p>
      <w:pPr>
        <w:pStyle w:val="Heading1"/>
        <w:keepNext/>
        <w:spacing w:after="140" w:before="360"/>
      </w:pPr>
      <w:r>
        <w:rPr>
          <w:rFonts w:ascii="Calibri" w:cs="Calibri" w:eastAsia="Calibri" w:hAnsi="Calibri"/>
          <w:b/>
          <w:bCs/>
          <w:color w:val="3D4B7B"/>
          <w:sz w:val="30"/>
          <w:szCs w:val="30"/>
        </w:rPr>
        <w:t xml:space="preserve">6. Data-quality findings</w:t>
      </w:r>
    </w:p>
    <w:p>
      <w:pPr>
        <w:spacing w:after="120" w:before="0"/>
      </w:pPr>
      <w:r>
        <w:rPr>
          <w:rFonts w:ascii="Calibri" w:cs="Calibri" w:eastAsia="Calibri" w:hAnsi="Calibri"/>
          <w:b w:val="false"/>
          <w:bCs w:val="false"/>
          <w:i w:val="false"/>
          <w:iCs w:val="false"/>
          <w:color w:val="2E3338"/>
          <w:sz w:val="21"/>
          <w:szCs w:val="21"/>
        </w:rPr>
        <w:t xml:space="preserve">Structural reconciliation passed: 1,000 rows read, 1,000 sessions written, 3,500 page views reconciled by two independent parsers, zero error-severity findings and 42 of 42 self-tests passing. The table below summarises retained QA findings and normalisation events; 970 sessions carry at least one warning.</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2600"/>
        <w:gridCol w:w="900"/>
        <w:gridCol w:w="800"/>
        <w:gridCol w:w="5400"/>
      </w:tblGrid>
      <w:tr>
        <w:trPr>
          <w:tblHeader/>
        </w:trPr>
        <w:tc>
          <w:tcPr>
            <w:tcW w:type="dxa" w:w="26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Finding</w:t>
            </w:r>
          </w:p>
        </w:tc>
        <w:tc>
          <w:tcPr>
            <w:tcW w:type="dxa" w:w="9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Sessions</w:t>
            </w:r>
          </w:p>
        </w:tc>
        <w:tc>
          <w:tcPr>
            <w:tcW w:type="dxa" w:w="8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Share</w:t>
            </w:r>
          </w:p>
        </w:tc>
        <w:tc>
          <w:tcPr>
            <w:tcW w:type="dxa" w:w="54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What it means</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Geo inconsistent</w:t>
            </w:r>
          </w:p>
        </w:tc>
        <w:tc>
          <w:tcPr>
            <w:tcW w:type="dxa" w:w="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776</w:t>
            </w:r>
          </w:p>
        </w:tc>
        <w:tc>
          <w:tcPr>
            <w:tcW w:type="dxa" w:w="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77.6%</w:t>
            </w:r>
          </w:p>
        </w:tc>
        <w:tc>
          <w:tcPr>
            <w:tcW w:type="dxa" w:w="5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Country does not match the working city-country lookup.</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User in several countries</w:t>
            </w:r>
          </w:p>
        </w:tc>
        <w:tc>
          <w:tcPr>
            <w:tcW w:type="dxa" w:w="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557</w:t>
            </w:r>
          </w:p>
        </w:tc>
        <w:tc>
          <w:tcPr>
            <w:tcW w:type="dxa" w:w="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55.7%</w:t>
            </w:r>
          </w:p>
        </w:tc>
        <w:tc>
          <w:tcPr>
            <w:tcW w:type="dxa" w:w="5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same User ID appears in more than one country.</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Cart Changes blank</w:t>
            </w:r>
          </w:p>
        </w:tc>
        <w:tc>
          <w:tcPr>
            <w:tcW w:type="dxa" w:w="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336</w:t>
            </w:r>
          </w:p>
        </w:tc>
        <w:tc>
          <w:tcPr>
            <w:tcW w:type="dxa" w:w="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33.6%</w:t>
            </w:r>
          </w:p>
        </w:tc>
        <w:tc>
          <w:tcPr>
            <w:tcW w:type="dxa" w:w="5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Read as "no cart interaction" — an assumption, flagged for review.</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Cart action without a cart page</w:t>
            </w:r>
          </w:p>
        </w:tc>
        <w:tc>
          <w:tcPr>
            <w:tcW w:type="dxa" w:w="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279</w:t>
            </w:r>
          </w:p>
        </w:tc>
        <w:tc>
          <w:tcPr>
            <w:tcW w:type="dxa" w:w="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27.9%</w:t>
            </w:r>
          </w:p>
        </w:tc>
        <w:tc>
          <w:tcPr>
            <w:tcW w:type="dxa" w:w="5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An Add or Remove is recorded but the CT page code is absent from Browsing Path.</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Value without a purchase</w:t>
            </w:r>
          </w:p>
        </w:tc>
        <w:tc>
          <w:tcPr>
            <w:tcW w:type="dxa" w:w="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235</w:t>
            </w:r>
          </w:p>
        </w:tc>
        <w:tc>
          <w:tcPr>
            <w:tcW w:type="dxa" w:w="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23.5%</w:t>
            </w:r>
          </w:p>
        </w:tc>
        <w:tc>
          <w:tcPr>
            <w:tcW w:type="dxa" w:w="5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 Value above zero on a session not marked Purchased.</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Purchase without value</w:t>
            </w:r>
          </w:p>
        </w:tc>
        <w:tc>
          <w:tcPr>
            <w:tcW w:type="dxa" w:w="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200</w:t>
            </w:r>
          </w:p>
        </w:tc>
        <w:tc>
          <w:tcPr>
            <w:tcW w:type="dxa" w:w="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20.0%</w:t>
            </w:r>
          </w:p>
        </w:tc>
        <w:tc>
          <w:tcPr>
            <w:tcW w:type="dxa" w:w="5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Conversion Event is Purchased and Purchase Value is 0.00.</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Add to cart without a cart page</w:t>
            </w:r>
          </w:p>
        </w:tc>
        <w:tc>
          <w:tcPr>
            <w:tcW w:type="dxa" w:w="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143</w:t>
            </w:r>
          </w:p>
        </w:tc>
        <w:tc>
          <w:tcPr>
            <w:tcW w:type="dxa" w:w="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14.3%</w:t>
            </w:r>
          </w:p>
        </w:tc>
        <w:tc>
          <w:tcPr>
            <w:tcW w:type="dxa" w:w="5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Added to Cart is recorded but the CT page code is absent from Browsing Path.</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Purchase without a cart page</w:t>
            </w:r>
          </w:p>
        </w:tc>
        <w:tc>
          <w:tcPr>
            <w:tcW w:type="dxa" w:w="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123</w:t>
            </w:r>
          </w:p>
        </w:tc>
        <w:tc>
          <w:tcPr>
            <w:tcW w:type="dxa" w:w="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12.3%</w:t>
            </w:r>
          </w:p>
        </w:tc>
        <w:tc>
          <w:tcPr>
            <w:tcW w:type="dxa" w:w="5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Purchased is recorded but the CT page code is absent from Browsing Path.</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Device abbreviations</w:t>
            </w:r>
          </w:p>
        </w:tc>
        <w:tc>
          <w:tcPr>
            <w:tcW w:type="dxa" w:w="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82</w:t>
            </w:r>
          </w:p>
        </w:tc>
        <w:tc>
          <w:tcPr>
            <w:tcW w:type="dxa" w:w="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8.2%</w:t>
            </w:r>
          </w:p>
        </w:tc>
        <w:tc>
          <w:tcPr>
            <w:tcW w:type="dxa" w:w="5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Repaired by the script: D, T, M, tablet.</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Channel spelling variants</w:t>
            </w:r>
          </w:p>
        </w:tc>
        <w:tc>
          <w:tcPr>
            <w:tcW w:type="dxa" w:w="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31</w:t>
            </w:r>
          </w:p>
        </w:tc>
        <w:tc>
          <w:tcPr>
            <w:tcW w:type="dxa" w:w="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3.1%</w:t>
            </w:r>
          </w:p>
        </w:tc>
        <w:tc>
          <w:tcPr>
            <w:tcW w:type="dxa" w:w="5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Repaired by the script: Organic, PaidAds, email.</w:t>
            </w:r>
          </w:p>
        </w:tc>
      </w:tr>
    </w:tbl>
    <w:p>
      <w:pPr>
        <w:spacing w:after="200"/>
      </w:pPr>
    </w:p>
    <w:p>
      <w:pPr>
        <w:pStyle w:val="Heading2"/>
        <w:keepNext/>
        <w:spacing w:after="100" w:before="240"/>
      </w:pPr>
      <w:r>
        <w:rPr>
          <w:rFonts w:ascii="Calibri" w:cs="Calibri" w:eastAsia="Calibri" w:hAnsi="Calibri"/>
          <w:b/>
          <w:bCs/>
          <w:color w:val="2E3338"/>
          <w:sz w:val="24"/>
          <w:szCs w:val="24"/>
        </w:rPr>
        <w:t xml:space="preserve">6.1 Recorded value depends on the attribution rule</w:t>
      </w:r>
    </w:p>
    <w:p>
      <w:pPr>
        <w:spacing w:after="120" w:before="0"/>
      </w:pPr>
      <w:r>
        <w:rPr>
          <w:rFonts w:ascii="Calibri" w:cs="Calibri" w:eastAsia="Calibri" w:hAnsi="Calibri"/>
          <w:b w:val="false"/>
          <w:bCs w:val="false"/>
          <w:i w:val="false"/>
          <w:iCs w:val="false"/>
          <w:color w:val="2E3338"/>
          <w:sz w:val="21"/>
          <w:szCs w:val="21"/>
        </w:rPr>
        <w:t xml:space="preserve">Purchase Value and Conversion Event are not reconciled. Positive-value shares are similar for Purchased (103 of 303), Added to Cart (114 of 335) and No Conversion (121 of 362), with no detected association in this sample. Three explicit attribution rules therefore produce different recorded-value totals; all are computed on the analysis tab with SUMIF:</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3000"/>
        <w:gridCol w:w="1400"/>
        <w:gridCol w:w="1000"/>
        <w:gridCol w:w="4300"/>
      </w:tblGrid>
      <w:tr>
        <w:trPr>
          <w:tblHeader/>
        </w:trPr>
        <w:tc>
          <w:tcPr>
            <w:tcW w:type="dxa" w:w="30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Rule</w:t>
            </w:r>
          </w:p>
        </w:tc>
        <w:tc>
          <w:tcPr>
            <w:tcW w:type="dxa" w:w="14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Recorded value</w:t>
            </w:r>
          </w:p>
        </w:tc>
        <w:tc>
          <w:tcPr>
            <w:tcW w:type="dxa" w:w="10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Sessions</w:t>
            </w:r>
          </w:p>
        </w:tc>
        <w:tc>
          <w:tcPr>
            <w:tcW w:type="dxa" w:w="43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What it assumes</w:t>
            </w:r>
          </w:p>
        </w:tc>
      </w:tr>
      <w:tr>
        <w:tc>
          <w:tcPr>
            <w:tcW w:type="dxa" w:w="3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 Only sessions marked Purchased</w:t>
            </w:r>
          </w:p>
        </w:tc>
        <w:tc>
          <w:tcPr>
            <w:tcW w:type="dxa" w:w="1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24,622.18</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303</w:t>
            </w:r>
          </w:p>
        </w:tc>
        <w:tc>
          <w:tcPr>
            <w:tcW w:type="dxa" w:w="4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Assumes Conversion Event is authoritative; zero-valued purchase records contribute 0.</w:t>
            </w:r>
          </w:p>
        </w:tc>
      </w:tr>
      <w:tr>
        <w:tc>
          <w:tcPr>
            <w:tcW w:type="dxa" w:w="3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B. Purchased and Added to Cart</w:t>
            </w:r>
          </w:p>
        </w:tc>
        <w:tc>
          <w:tcPr>
            <w:tcW w:type="dxa" w:w="1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53,943.45</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638</w:t>
            </w:r>
          </w:p>
        </w:tc>
        <w:tc>
          <w:tcPr>
            <w:tcW w:type="dxa" w:w="4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Assumes positive value on Added to Cart can be counted; this is not verifiable from the available fields.</w:t>
            </w:r>
          </w:p>
        </w:tc>
      </w:tr>
      <w:tr>
        <w:tc>
          <w:tcPr>
            <w:tcW w:type="dxa" w:w="3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 Every non-zero value</w:t>
            </w:r>
          </w:p>
        </w:tc>
        <w:tc>
          <w:tcPr>
            <w:tcW w:type="dxa" w:w="1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85,005.26</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338</w:t>
            </w:r>
          </w:p>
        </w:tc>
        <w:tc>
          <w:tcPr>
            <w:tcW w:type="dxa" w:w="4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Assumes Purchase Value is authoritative; sessions not marked Purchased still contribute recorded value.</w:t>
            </w:r>
          </w:p>
        </w:tc>
      </w:tr>
    </w:tbl>
    <w:p>
      <w:pPr>
        <w:spacing w:after="140"/>
      </w:pPr>
    </w:p>
    <w:p>
      <w:pPr>
        <w:spacing w:after="120" w:before="0"/>
      </w:pPr>
      <w:r>
        <w:rPr>
          <w:rFonts w:ascii="Calibri" w:cs="Calibri" w:eastAsia="Calibri" w:hAnsi="Calibri"/>
          <w:b w:val="false"/>
          <w:bCs w:val="false"/>
          <w:i w:val="false"/>
          <w:iCs w:val="false"/>
          <w:color w:val="2E3338"/>
          <w:sz w:val="21"/>
          <w:szCs w:val="21"/>
        </w:rPr>
        <w:t xml:space="preserve">The widest pair differs by 3.45x. A single revenue KPI would therefore embed an unverified attribution choice, so the workbook reports the alternatives instead.</w:t>
      </w:r>
    </w:p>
    <w:p>
      <w:pPr>
        <w:pStyle w:val="Heading2"/>
        <w:keepNext/>
        <w:spacing w:after="100" w:before="240"/>
      </w:pPr>
      <w:r>
        <w:rPr>
          <w:rFonts w:ascii="Calibri" w:cs="Calibri" w:eastAsia="Calibri" w:hAnsi="Calibri"/>
          <w:b/>
          <w:bCs/>
          <w:color w:val="2E3338"/>
          <w:sz w:val="24"/>
          <w:szCs w:val="24"/>
        </w:rPr>
        <w:t xml:space="preserve">6.2 The event columns and the clickstream disagree</w:t>
      </w:r>
    </w:p>
    <w:p>
      <w:pPr>
        <w:spacing w:after="120" w:before="0"/>
      </w:pPr>
      <w:r>
        <w:rPr>
          <w:rFonts w:ascii="Calibri" w:cs="Calibri" w:eastAsia="Calibri" w:hAnsi="Calibri"/>
          <w:b w:val="false"/>
          <w:bCs w:val="false"/>
          <w:i w:val="false"/>
          <w:iCs w:val="false"/>
          <w:color w:val="2E3338"/>
          <w:sz w:val="21"/>
          <w:szCs w:val="21"/>
        </w:rPr>
        <w:t xml:space="preserve">Splitting the path makes the contradictions measurable. The cart page is absent from 123 purchase sessions, 143 add-to-cart sessions and 279 sessions with an Add or Remove event. Of 583 sessions reaching cart, 424 continue browsing. Purchase rates are 30.9% with cart reach and 29.5% without (p = 0.867), so no material association is detected in this sample.</w:t>
      </w:r>
    </w:p>
    <w:p>
      <w:pPr>
        <w:pStyle w:val="Heading2"/>
        <w:keepNext/>
        <w:spacing w:after="100" w:before="240"/>
      </w:pPr>
      <w:r>
        <w:rPr>
          <w:rFonts w:ascii="Calibri" w:cs="Calibri" w:eastAsia="Calibri" w:hAnsi="Calibri"/>
          <w:b/>
          <w:bCs/>
          <w:color w:val="2E3338"/>
          <w:sz w:val="24"/>
          <w:szCs w:val="24"/>
        </w:rPr>
        <w:t xml:space="preserve">6.3 Country-city consistency</w:t>
      </w:r>
    </w:p>
    <w:p>
      <w:pPr>
        <w:spacing w:after="120" w:before="0"/>
      </w:pPr>
      <w:r>
        <w:rPr>
          <w:rFonts w:ascii="Calibri" w:cs="Calibri" w:eastAsia="Calibri" w:hAnsi="Calibri"/>
          <w:b w:val="false"/>
          <w:bCs w:val="false"/>
          <w:i w:val="false"/>
          <w:iCs w:val="false"/>
          <w:color w:val="2E3338"/>
          <w:sz w:val="21"/>
          <w:szCs w:val="21"/>
        </w:rPr>
        <w:t xml:space="preserve">Only 224 of 1,000 sessions match the working city-country lookup. A chi-square test returns p = 0.652, so no association is detected in this sample; this does not prove random assignment. Separately, 557 sessions belong to User IDs observed in more than one country. Geography and visitor identity therefore require source-system validation and are excluded from segmentation.</w:t>
      </w:r>
    </w:p>
    <w:p>
      <w:pPr>
        <w:pStyle w:val="Heading2"/>
        <w:keepNext/>
        <w:spacing w:after="100" w:before="240"/>
      </w:pPr>
      <w:r>
        <w:rPr>
          <w:rFonts w:ascii="Calibri" w:cs="Calibri" w:eastAsia="Calibri" w:hAnsi="Calibri"/>
          <w:b/>
          <w:bCs/>
          <w:color w:val="2E3338"/>
          <w:sz w:val="24"/>
          <w:szCs w:val="24"/>
        </w:rPr>
        <w:t xml:space="preserve">6.4 Path-order limitations</w:t>
      </w:r>
    </w:p>
    <w:p>
      <w:pPr>
        <w:spacing w:after="120" w:before="0"/>
      </w:pPr>
      <w:r>
        <w:rPr>
          <w:rFonts w:ascii="Calibri" w:cs="Calibri" w:eastAsia="Calibri" w:hAnsi="Calibri"/>
          <w:b w:val="false"/>
          <w:bCs w:val="false"/>
          <w:i w:val="false"/>
          <w:iCs w:val="false"/>
          <w:color w:val="2E3338"/>
          <w:sz w:val="21"/>
          <w:szCs w:val="21"/>
        </w:rPr>
        <w:t xml:space="preserve">Four structural facts, each from the page-view table:</w:t>
      </w:r>
    </w:p>
    <w:p>
      <w:pPr>
        <w:pStyle w:val="ListParagraph"/>
        <w:numPr>
          <w:ilvl w:val="0"/>
          <w:numId w:val="2"/>
        </w:numPr>
        <w:spacing w:after="60"/>
      </w:pPr>
      <w:r>
        <w:rPr>
          <w:rFonts w:ascii="Calibri" w:cs="Calibri" w:eastAsia="Calibri" w:hAnsi="Calibri"/>
          <w:b w:val="false"/>
          <w:bCs w:val="false"/>
          <w:i w:val="false"/>
          <w:iCs w:val="false"/>
          <w:color w:val="2E3338"/>
          <w:sz w:val="21"/>
          <w:szCs w:val="21"/>
        </w:rPr>
        <w:t xml:space="preserve">The transition diagonal is empty, showing no immediate self-transition; a separate path-level check also found no repeated page code within a session. This is unusual for behavioural clickstream data.</w:t>
      </w:r>
    </w:p>
    <w:p>
      <w:pPr>
        <w:pStyle w:val="ListParagraph"/>
        <w:numPr>
          <w:ilvl w:val="0"/>
          <w:numId w:val="2"/>
        </w:numPr>
        <w:spacing w:after="60"/>
      </w:pPr>
      <w:r>
        <w:rPr>
          <w:rFonts w:ascii="Calibri" w:cs="Calibri" w:eastAsia="Calibri" w:hAnsi="Calibri"/>
          <w:b w:val="false"/>
          <w:bCs w:val="false"/>
          <w:i w:val="false"/>
          <w:iCs w:val="false"/>
          <w:color w:val="2E3338"/>
          <w:sz w:val="21"/>
          <w:szCs w:val="21"/>
        </w:rPr>
        <w:t xml:space="preserve">836 of 1,000 sessions do not begin on the landing page, and 421 sessions visit it somewhere other than first.</w:t>
      </w:r>
    </w:p>
    <w:p>
      <w:pPr>
        <w:pStyle w:val="ListParagraph"/>
        <w:numPr>
          <w:ilvl w:val="0"/>
          <w:numId w:val="2"/>
        </w:numPr>
        <w:spacing w:after="60"/>
      </w:pPr>
      <w:r>
        <w:rPr>
          <w:rFonts w:ascii="Calibri" w:cs="Calibri" w:eastAsia="Calibri" w:hAnsi="Calibri"/>
          <w:b w:val="false"/>
          <w:bCs w:val="false"/>
          <w:i w:val="false"/>
          <w:iCs w:val="false"/>
          <w:color w:val="2E3338"/>
          <w:sz w:val="21"/>
          <w:szCs w:val="21"/>
        </w:rPr>
        <w:t xml:space="preserve">151 sessions begin on the cart page — before any product page exists in the path.</w:t>
      </w:r>
    </w:p>
    <w:p>
      <w:pPr>
        <w:pStyle w:val="ListParagraph"/>
        <w:numPr>
          <w:ilvl w:val="0"/>
          <w:numId w:val="2"/>
        </w:numPr>
        <w:spacing w:after="60"/>
      </w:pPr>
      <w:r>
        <w:rPr>
          <w:rFonts w:ascii="Calibri" w:cs="Calibri" w:eastAsia="Calibri" w:hAnsi="Calibri"/>
          <w:b w:val="false"/>
          <w:bCs w:val="false"/>
          <w:i w:val="false"/>
          <w:iCs w:val="false"/>
          <w:color w:val="2E3338"/>
          <w:sz w:val="21"/>
          <w:szCs w:val="21"/>
        </w:rPr>
        <w:t xml:space="preserve">Path length is near-uniform from one to six pages (152–178 sessions each), and the maximum equals the number of distinct pages. This is consistent with sampling page codes without replacement.</w:t>
      </w:r>
    </w:p>
    <w:p>
      <w:pPr>
        <w:spacing w:after="120" w:before="120"/>
      </w:pPr>
      <w:r>
        <w:rPr>
          <w:rFonts w:ascii="Calibri" w:cs="Calibri" w:eastAsia="Calibri" w:hAnsi="Calibri"/>
          <w:b w:val="false"/>
          <w:bCs w:val="false"/>
          <w:i w:val="false"/>
          <w:iCs w:val="false"/>
          <w:color w:val="2E3338"/>
          <w:sz w:val="21"/>
          <w:szCs w:val="21"/>
        </w:rPr>
        <w:t xml:space="preserve">The workbook therefore charts page reach rather than a funnel: paths are ordered, but their order does not map reliably to the canonical funnel.</w:t>
      </w:r>
    </w:p>
    <w:p>
      <w:pPr>
        <w:pStyle w:val="Heading1"/>
        <w:keepNext/>
        <w:spacing w:after="140" w:before="360"/>
      </w:pPr>
      <w:r>
        <w:rPr>
          <w:rFonts w:ascii="Calibri" w:cs="Calibri" w:eastAsia="Calibri" w:hAnsi="Calibri"/>
          <w:b/>
          <w:bCs/>
          <w:color w:val="3D4B7B"/>
          <w:sz w:val="30"/>
          <w:szCs w:val="30"/>
        </w:rPr>
        <w:t xml:space="preserve">7. Conversion-driver assessment</w:t>
      </w:r>
    </w:p>
    <w:p>
      <w:pPr>
        <w:spacing w:after="120" w:before="0"/>
      </w:pPr>
      <w:r>
        <w:rPr>
          <w:rFonts w:ascii="Calibri" w:cs="Calibri" w:eastAsia="Calibri" w:hAnsi="Calibri"/>
          <w:b w:val="false"/>
          <w:bCs w:val="false"/>
          <w:i w:val="false"/>
          <w:iCs w:val="false"/>
          <w:color w:val="2E3338"/>
          <w:sz w:val="21"/>
          <w:szCs w:val="21"/>
        </w:rPr>
        <w:t xml:space="preserve">Session outcomes split 36.2% No Conversion, 33.5% Added to Cart and 30.3% Purchased. Twelve exploratory comparisons were screened for this report. The workbook exposes the core tests, intervals and correlations as live formulas; the wider screen was independently recomputed from the delivered workbook.</w:t>
      </w:r>
    </w:p>
    <w:p>
      <w:pPr>
        <w:pStyle w:val="Heading2"/>
        <w:keepNext/>
        <w:spacing w:after="100" w:before="240"/>
      </w:pPr>
      <w:r>
        <w:rPr>
          <w:rFonts w:ascii="Calibri" w:cs="Calibri" w:eastAsia="Calibri" w:hAnsi="Calibri"/>
          <w:b/>
          <w:bCs/>
          <w:color w:val="2E3338"/>
          <w:sz w:val="24"/>
          <w:szCs w:val="24"/>
        </w:rPr>
        <w:t xml:space="preserve">7.1 Purchase rate with 95% confidence intervals</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2200"/>
        <w:gridCol w:w="1200"/>
        <w:gridCol w:w="1300"/>
        <w:gridCol w:w="1000"/>
        <w:gridCol w:w="2200"/>
        <w:gridCol w:w="1800"/>
      </w:tblGrid>
      <w:tr>
        <w:trPr>
          <w:tblHeader/>
        </w:trPr>
        <w:tc>
          <w:tcPr>
            <w:tcW w:type="dxa" w:w="2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Segment</w:t>
            </w:r>
          </w:p>
        </w:tc>
        <w:tc>
          <w:tcPr>
            <w:tcW w:type="dxa" w:w="1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Sessions</w:t>
            </w:r>
          </w:p>
        </w:tc>
        <w:tc>
          <w:tcPr>
            <w:tcW w:type="dxa" w:w="13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Purchased</w:t>
            </w:r>
          </w:p>
        </w:tc>
        <w:tc>
          <w:tcPr>
            <w:tcW w:type="dxa" w:w="10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Rate</w:t>
            </w:r>
          </w:p>
        </w:tc>
        <w:tc>
          <w:tcPr>
            <w:tcW w:type="dxa" w:w="2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95% interval</w:t>
            </w:r>
          </w:p>
        </w:tc>
        <w:tc>
          <w:tcPr>
            <w:tcW w:type="dxa" w:w="18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Width</w:t>
            </w:r>
          </w:p>
        </w:tc>
      </w:tr>
      <w:tr>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Email</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257</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87</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33.9%</w:t>
            </w:r>
          </w:p>
        </w:tc>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[28.3%, 39.8%]</w:t>
            </w:r>
          </w:p>
        </w:tc>
        <w:tc>
          <w:tcPr>
            <w:tcW w:type="dxa" w:w="1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11.5 pp</w:t>
            </w:r>
          </w:p>
        </w:tc>
      </w:tr>
      <w:tr>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Direct</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233</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73</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31.3%</w:t>
            </w:r>
          </w:p>
        </w:tc>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[25.7%, 37.5%]</w:t>
            </w:r>
          </w:p>
        </w:tc>
        <w:tc>
          <w:tcPr>
            <w:tcW w:type="dxa" w:w="1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11.8 pp</w:t>
            </w:r>
          </w:p>
        </w:tc>
      </w:tr>
      <w:tr>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Paid Ads</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246</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74</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30.1%</w:t>
            </w:r>
          </w:p>
        </w:tc>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[24.7%, 36.1%]</w:t>
            </w:r>
          </w:p>
        </w:tc>
        <w:tc>
          <w:tcPr>
            <w:tcW w:type="dxa" w:w="1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11.4 pp</w:t>
            </w:r>
          </w:p>
        </w:tc>
      </w:tr>
      <w:tr>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Organic Search</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264</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69</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26.1%</w:t>
            </w:r>
          </w:p>
        </w:tc>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[21.2%, 31.8%]</w:t>
            </w:r>
          </w:p>
        </w:tc>
        <w:tc>
          <w:tcPr>
            <w:tcW w:type="dxa" w:w="1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10.6 pp</w:t>
            </w:r>
          </w:p>
        </w:tc>
      </w:tr>
      <w:tr>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Mobile</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324</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112</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34.6%</w:t>
            </w:r>
          </w:p>
        </w:tc>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[29.6%, 39.9%]</w:t>
            </w:r>
          </w:p>
        </w:tc>
        <w:tc>
          <w:tcPr>
            <w:tcW w:type="dxa" w:w="1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10.3 pp</w:t>
            </w:r>
          </w:p>
        </w:tc>
      </w:tr>
      <w:tr>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Desktop</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333</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108</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32.4%</w:t>
            </w:r>
          </w:p>
        </w:tc>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[27.6%, 37.6%]</w:t>
            </w:r>
          </w:p>
        </w:tc>
        <w:tc>
          <w:tcPr>
            <w:tcW w:type="dxa" w:w="1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10.0 pp</w:t>
            </w:r>
          </w:p>
        </w:tc>
      </w:tr>
      <w:tr>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Tablet</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343</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83</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24.2%</w:t>
            </w:r>
          </w:p>
        </w:tc>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[20.0%, 29.0%]</w:t>
            </w:r>
          </w:p>
        </w:tc>
        <w:tc>
          <w:tcPr>
            <w:tcW w:type="dxa" w:w="1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9.0 pp</w:t>
            </w:r>
          </w:p>
        </w:tc>
      </w:tr>
      <w:tr>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First observed</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642</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197</w:t>
            </w:r>
          </w:p>
        </w:tc>
        <w:tc>
          <w:tcPr>
            <w:tcW w:type="dxa" w:w="1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30.7%</w:t>
            </w:r>
          </w:p>
        </w:tc>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[27.2%, 34.4%]</w:t>
            </w:r>
          </w:p>
        </w:tc>
        <w:tc>
          <w:tcPr>
            <w:tcW w:type="dxa" w:w="18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7.2 pp</w:t>
            </w:r>
          </w:p>
        </w:tc>
      </w:tr>
      <w:tr>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Repeat observed</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358</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106</w:t>
            </w:r>
          </w:p>
        </w:tc>
        <w:tc>
          <w:tcPr>
            <w:tcW w:type="dxa" w:w="1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29.6%</w:t>
            </w:r>
          </w:p>
        </w:tc>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[25.1%, 34.5%]</w:t>
            </w:r>
          </w:p>
        </w:tc>
        <w:tc>
          <w:tcPr>
            <w:tcW w:type="dxa" w:w="18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9.4 pp</w:t>
            </w:r>
          </w:p>
        </w:tc>
      </w:tr>
    </w:tbl>
    <w:p>
      <w:pPr>
        <w:spacing w:after="140"/>
      </w:pPr>
    </w:p>
    <w:p>
      <w:pPr>
        <w:spacing w:after="120" w:before="0"/>
      </w:pPr>
      <w:r>
        <w:rPr>
          <w:rFonts w:ascii="Calibri" w:cs="Calibri" w:eastAsia="Calibri" w:hAnsi="Calibri"/>
          <w:b w:val="false"/>
          <w:bCs w:val="false"/>
          <w:i w:val="false"/>
          <w:iCs w:val="false"/>
          <w:color w:val="2E3338"/>
          <w:sz w:val="21"/>
          <w:szCs w:val="21"/>
        </w:rPr>
        <w:t xml:space="preserve">Each interval is about ten percentage points wide at 250–350 sessions per group. Wilson intervals are used for finite-sample coverage and bounds constrained to [0, 1].</w:t>
      </w:r>
    </w:p>
    <w:p>
      <w:pPr>
        <w:pStyle w:val="Heading2"/>
        <w:keepNext/>
        <w:spacing w:after="100" w:before="240"/>
      </w:pPr>
      <w:r>
        <w:rPr>
          <w:rFonts w:ascii="Calibri" w:cs="Calibri" w:eastAsia="Calibri" w:hAnsi="Calibri"/>
          <w:b/>
          <w:bCs/>
          <w:color w:val="2E3338"/>
          <w:sz w:val="24"/>
          <w:szCs w:val="24"/>
        </w:rPr>
        <w:t xml:space="preserve">7.2 Chi-square tests across twelve dimensions</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4600"/>
        <w:gridCol w:w="1500"/>
        <w:gridCol w:w="3600"/>
      </w:tblGrid>
      <w:tr>
        <w:trPr>
          <w:tblHeader/>
        </w:trPr>
        <w:tc>
          <w:tcPr>
            <w:tcW w:type="dxa" w:w="46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Dimension tested against Conversion Event</w:t>
            </w:r>
          </w:p>
        </w:tc>
        <w:tc>
          <w:tcPr>
            <w:tcW w:type="dxa" w:w="15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p-value</w:t>
            </w:r>
          </w:p>
        </w:tc>
        <w:tc>
          <w:tcPr>
            <w:tcW w:type="dxa" w:w="36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Reading</w:t>
            </w:r>
          </w:p>
        </w:tc>
      </w:tr>
      <w:tr>
        <w:tc>
          <w:tcPr>
            <w:tcW w:type="dxa" w:w="4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Device type</w:t>
            </w:r>
          </w:p>
        </w:tc>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0.028</w:t>
            </w:r>
          </w:p>
        </w:tc>
        <w:tc>
          <w:tcPr>
            <w:tcW w:type="dxa" w:w="3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only test below 0.05 — see 7.3</w:t>
            </w:r>
          </w:p>
        </w:tc>
      </w:tr>
      <w:tr>
        <w:tc>
          <w:tcPr>
            <w:tcW w:type="dxa" w:w="4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Cart action (Add / Remove / none)</w:t>
            </w:r>
          </w:p>
        </w:tc>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0.098</w:t>
            </w:r>
          </w:p>
        </w:tc>
        <w:tc>
          <w:tcPr>
            <w:tcW w:type="dxa" w:w="3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Time-of-day block</w:t>
            </w:r>
          </w:p>
        </w:tc>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0.217</w:t>
            </w:r>
          </w:p>
        </w:tc>
        <w:tc>
          <w:tcPr>
            <w:tcW w:type="dxa" w:w="3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Month</w:t>
            </w:r>
          </w:p>
        </w:tc>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0.168</w:t>
            </w:r>
          </w:p>
        </w:tc>
        <w:tc>
          <w:tcPr>
            <w:tcW w:type="dxa" w:w="3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Traffic channel</w:t>
            </w:r>
          </w:p>
        </w:tc>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0.177</w:t>
            </w:r>
          </w:p>
        </w:tc>
        <w:tc>
          <w:tcPr>
            <w:tcW w:type="dxa" w:w="3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Total duration bucket</w:t>
            </w:r>
          </w:p>
        </w:tc>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0.265</w:t>
            </w:r>
          </w:p>
        </w:tc>
        <w:tc>
          <w:tcPr>
            <w:tcW w:type="dxa" w:w="3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City</w:t>
            </w:r>
          </w:p>
        </w:tc>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0.479</w:t>
            </w:r>
          </w:p>
        </w:tc>
        <w:tc>
          <w:tcPr>
            <w:tcW w:type="dxa" w:w="3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Country</w:t>
            </w:r>
          </w:p>
        </w:tc>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0.724</w:t>
            </w:r>
          </w:p>
        </w:tc>
        <w:tc>
          <w:tcPr>
            <w:tcW w:type="dxa" w:w="3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Cart page reached</w:t>
            </w:r>
          </w:p>
        </w:tc>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0.867</w:t>
            </w:r>
          </w:p>
        </w:tc>
        <w:tc>
          <w:tcPr>
            <w:tcW w:type="dxa" w:w="3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Observed visitor type (first / repeat)</w:t>
            </w:r>
          </w:p>
        </w:tc>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0.930</w:t>
            </w:r>
          </w:p>
        </w:tc>
        <w:tc>
          <w:tcPr>
            <w:tcW w:type="dxa" w:w="3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Total clicks bucket</w:t>
            </w:r>
          </w:p>
        </w:tc>
        <w:tc>
          <w:tcPr>
            <w:tcW w:type="dxa" w:w="1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0.989</w:t>
            </w:r>
          </w:p>
        </w:tc>
        <w:tc>
          <w:tcPr>
            <w:tcW w:type="dxa" w:w="36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r>
        <w:tc>
          <w:tcPr>
            <w:tcW w:type="dxa" w:w="4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 depth</w:t>
            </w:r>
          </w:p>
        </w:tc>
        <w:tc>
          <w:tcPr>
            <w:tcW w:type="dxa" w:w="1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0.992</w:t>
            </w:r>
          </w:p>
        </w:tc>
        <w:tc>
          <w:tcPr>
            <w:tcW w:type="dxa" w:w="36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evidence</w:t>
            </w:r>
          </w:p>
        </w:tc>
      </w:tr>
    </w:tbl>
    <w:p>
      <w:pPr>
        <w:spacing w:after="140"/>
      </w:pPr>
    </w:p>
    <w:p>
      <w:pPr>
        <w:spacing w:after="120" w:before="0"/>
      </w:pPr>
      <w:r>
        <w:rPr>
          <w:rFonts w:ascii="Calibri" w:cs="Calibri" w:eastAsia="Calibri" w:hAnsi="Calibri"/>
          <w:b w:val="false"/>
          <w:bCs w:val="false"/>
          <w:i w:val="false"/>
          <w:iCs w:val="false"/>
          <w:color w:val="2E3338"/>
          <w:sz w:val="21"/>
          <w:szCs w:val="21"/>
        </w:rPr>
        <w:t xml:space="preserve">Across twelve exploratory tests, a Bonferroni family-wise threshold is 0.05 / 12 = 0.0042. No omnibus result reaches it, so the unadjusted device result should be treated as tentative.</w:t>
      </w:r>
    </w:p>
    <w:p>
      <w:pPr>
        <w:pStyle w:val="Heading2"/>
        <w:keepNext/>
        <w:spacing w:after="100" w:before="240"/>
      </w:pPr>
      <w:r>
        <w:rPr>
          <w:rFonts w:ascii="Calibri" w:cs="Calibri" w:eastAsia="Calibri" w:hAnsi="Calibri"/>
          <w:b/>
          <w:bCs/>
          <w:color w:val="2E3338"/>
          <w:sz w:val="24"/>
          <w:szCs w:val="24"/>
        </w:rPr>
        <w:t xml:space="preserve">7.3 Device contrast and temporal stability</w:t>
      </w:r>
    </w:p>
    <w:p>
      <w:pPr>
        <w:spacing w:after="120" w:before="0"/>
      </w:pPr>
      <w:r>
        <w:rPr>
          <w:rFonts w:ascii="Calibri" w:cs="Calibri" w:eastAsia="Calibri" w:hAnsi="Calibri"/>
          <w:b w:val="false"/>
          <w:bCs w:val="false"/>
          <w:i w:val="false"/>
          <w:iCs w:val="false"/>
          <w:color w:val="2E3338"/>
          <w:sz w:val="21"/>
          <w:szCs w:val="21"/>
        </w:rPr>
        <w:t xml:space="preserve">Tablet sessions purchase at 24.2% versus 34.6% on mobile. The unadjusted two-proportion test gives z = 2.94 and p = 0.0033. The contrast was then repeated inside each half of the observed period as a within-sample temporal stability check:</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2200"/>
        <w:gridCol w:w="1900"/>
        <w:gridCol w:w="1900"/>
        <w:gridCol w:w="1300"/>
        <w:gridCol w:w="1200"/>
        <w:gridCol w:w="1200"/>
      </w:tblGrid>
      <w:tr>
        <w:trPr>
          <w:tblHeader/>
        </w:trPr>
        <w:tc>
          <w:tcPr>
            <w:tcW w:type="dxa" w:w="2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Comparison</w:t>
            </w:r>
          </w:p>
        </w:tc>
        <w:tc>
          <w:tcPr>
            <w:tcW w:type="dxa" w:w="19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Tablet</w:t>
            </w:r>
          </w:p>
        </w:tc>
        <w:tc>
          <w:tcPr>
            <w:tcW w:type="dxa" w:w="19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Other devices</w:t>
            </w:r>
          </w:p>
        </w:tc>
        <w:tc>
          <w:tcPr>
            <w:tcW w:type="dxa" w:w="13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Difference</w:t>
            </w:r>
          </w:p>
        </w:tc>
        <w:tc>
          <w:tcPr>
            <w:tcW w:type="dxa" w:w="1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p-value</w:t>
            </w:r>
          </w:p>
        </w:tc>
        <w:tc>
          <w:tcPr>
            <w:tcW w:type="dxa" w:w="1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Verdict</w:t>
            </w:r>
          </w:p>
        </w:tc>
      </w:tr>
      <w:tr>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Whole period</w:t>
            </w:r>
          </w:p>
        </w:tc>
        <w:tc>
          <w:tcPr>
            <w:tcW w:type="dxa" w:w="1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24.2% (83/343)</w:t>
            </w:r>
          </w:p>
        </w:tc>
        <w:tc>
          <w:tcPr>
            <w:tcW w:type="dxa" w:w="1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33.5% (220/657)</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-9.3 pp</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0.0024</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 &lt; 0.05 (unadjusted)</w:t>
            </w:r>
          </w:p>
        </w:tc>
      </w:tr>
      <w:tr>
        <w:tc>
          <w:tcPr>
            <w:tcW w:type="dxa" w:w="2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First half of 2023</w:t>
            </w:r>
          </w:p>
        </w:tc>
        <w:tc>
          <w:tcPr>
            <w:tcW w:type="dxa" w:w="1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19.8% (37/187)</w:t>
            </w:r>
          </w:p>
        </w:tc>
        <w:tc>
          <w:tcPr>
            <w:tcW w:type="dxa" w:w="1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34.4% (120/349)</w:t>
            </w:r>
          </w:p>
        </w:tc>
        <w:tc>
          <w:tcPr>
            <w:tcW w:type="dxa" w:w="1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-14.6 pp</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0.0004</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 &lt; 0.05 (unadjusted)</w:t>
            </w:r>
          </w:p>
        </w:tc>
      </w:tr>
      <w:tr>
        <w:tc>
          <w:tcPr>
            <w:tcW w:type="dxa" w:w="2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Second half of 2023</w:t>
            </w:r>
          </w:p>
        </w:tc>
        <w:tc>
          <w:tcPr>
            <w:tcW w:type="dxa" w:w="1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29.5% (46/156)</w:t>
            </w:r>
          </w:p>
        </w:tc>
        <w:tc>
          <w:tcPr>
            <w:tcW w:type="dxa" w:w="1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32.5% (100/308)</w:t>
            </w:r>
          </w:p>
        </w:tc>
        <w:tc>
          <w:tcPr>
            <w:tcW w:type="dxa" w:w="1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-3.0 pp</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0.514</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 &gt;= 0.05</w:t>
            </w:r>
          </w:p>
        </w:tc>
      </w:tr>
    </w:tbl>
    <w:p>
      <w:pPr>
        <w:spacing w:after="140"/>
      </w:pPr>
    </w:p>
    <w:p>
      <w:pPr>
        <w:spacing w:after="120" w:before="0"/>
      </w:pPr>
      <w:r>
        <w:rPr>
          <w:rFonts w:ascii="Calibri" w:cs="Calibri" w:eastAsia="Calibri" w:hAnsi="Calibri"/>
          <w:b w:val="false"/>
          <w:bCs w:val="false"/>
          <w:i w:val="false"/>
          <w:iCs w:val="false"/>
          <w:color w:val="2E3338"/>
          <w:sz w:val="21"/>
          <w:szCs w:val="21"/>
        </w:rPr>
        <w:t xml:space="preserve">The effect is concentrated in the first half of the year and is much smaller in the second. Combined with the family-wise threshold in 7.2, the evidence is not stable enough for a checkout rebuild recommendation; collecting more data is the appropriate next step.</w:t>
      </w:r>
    </w:p>
    <w:p>
      <w:pPr>
        <w:pStyle w:val="Heading2"/>
        <w:keepNext/>
        <w:spacing w:after="100" w:before="240"/>
      </w:pPr>
      <w:r>
        <w:rPr>
          <w:rFonts w:ascii="Calibri" w:cs="Calibri" w:eastAsia="Calibri" w:hAnsi="Calibri"/>
          <w:b/>
          <w:bCs/>
          <w:color w:val="2E3338"/>
          <w:sz w:val="24"/>
          <w:szCs w:val="24"/>
        </w:rPr>
        <w:t xml:space="preserve">7.4 Engagement correlations and a denominator trap</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3200"/>
        <w:gridCol w:w="1100"/>
        <w:gridCol w:w="1400"/>
        <w:gridCol w:w="4000"/>
      </w:tblGrid>
      <w:tr>
        <w:trPr>
          <w:tblHeader/>
        </w:trPr>
        <w:tc>
          <w:tcPr>
            <w:tcW w:type="dxa" w:w="3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Pair</w:t>
            </w:r>
          </w:p>
        </w:tc>
        <w:tc>
          <w:tcPr>
            <w:tcW w:type="dxa" w:w="11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Grain</w:t>
            </w:r>
          </w:p>
        </w:tc>
        <w:tc>
          <w:tcPr>
            <w:tcW w:type="dxa" w:w="14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Correlation</w:t>
            </w:r>
          </w:p>
        </w:tc>
        <w:tc>
          <w:tcPr>
            <w:tcW w:type="dxa" w:w="40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Reading</w:t>
            </w:r>
          </w:p>
        </w:tc>
      </w:tr>
      <w:tr>
        <w:tc>
          <w:tcPr>
            <w:tcW w:type="dxa" w:w="3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count vs total session time</w:t>
            </w:r>
          </w:p>
        </w:tc>
        <w:tc>
          <w:tcPr>
            <w:tcW w:type="dxa" w:w="1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w:t>
            </w:r>
          </w:p>
        </w:tc>
        <w:tc>
          <w:tcPr>
            <w:tcW w:type="dxa" w:w="1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+0.875</w:t>
            </w:r>
          </w:p>
        </w:tc>
        <w:tc>
          <w:tcPr>
            <w:tcW w:type="dxa" w:w="4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Partly mechanical because total time accumulates page-level durations.</w:t>
            </w:r>
          </w:p>
        </w:tc>
      </w:tr>
      <w:tr>
        <w:tc>
          <w:tcPr>
            <w:tcW w:type="dxa" w:w="3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count vs average time per page</w:t>
            </w:r>
          </w:p>
        </w:tc>
        <w:tc>
          <w:tcPr>
            <w:tcW w:type="dxa" w:w="1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w:t>
            </w:r>
          </w:p>
        </w:tc>
        <w:tc>
          <w:tcPr>
            <w:tcW w:type="dxa" w:w="1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-0.052</w:t>
            </w:r>
          </w:p>
        </w:tc>
        <w:tc>
          <w:tcPr>
            <w:tcW w:type="dxa" w:w="4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Average time per page removes the direct summation effect.</w:t>
            </w:r>
          </w:p>
        </w:tc>
      </w:tr>
      <w:tr>
        <w:tc>
          <w:tcPr>
            <w:tcW w:type="dxa" w:w="3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Clicks vs seconds on the same page</w:t>
            </w:r>
          </w:p>
        </w:tc>
        <w:tc>
          <w:tcPr>
            <w:tcW w:type="dxa" w:w="1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view</w:t>
            </w:r>
          </w:p>
        </w:tc>
        <w:tc>
          <w:tcPr>
            <w:tcW w:type="dxa" w:w="1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-0.009</w:t>
            </w:r>
          </w:p>
        </w:tc>
        <w:tc>
          <w:tcPr>
            <w:tcW w:type="dxa" w:w="4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material linear association is visible in this sample.</w:t>
            </w:r>
          </w:p>
        </w:tc>
      </w:tr>
      <w:tr>
        <w:tc>
          <w:tcPr>
            <w:tcW w:type="dxa" w:w="3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Scrolls vs seconds on the same page</w:t>
            </w:r>
          </w:p>
        </w:tc>
        <w:tc>
          <w:tcPr>
            <w:tcW w:type="dxa" w:w="1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view</w:t>
            </w:r>
          </w:p>
        </w:tc>
        <w:tc>
          <w:tcPr>
            <w:tcW w:type="dxa" w:w="1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-0.021</w:t>
            </w:r>
          </w:p>
        </w:tc>
        <w:tc>
          <w:tcPr>
            <w:tcW w:type="dxa" w:w="4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material linear association is visible in this sample.</w:t>
            </w:r>
          </w:p>
        </w:tc>
      </w:tr>
      <w:tr>
        <w:tc>
          <w:tcPr>
            <w:tcW w:type="dxa" w:w="3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Clicks vs scrolls</w:t>
            </w:r>
          </w:p>
        </w:tc>
        <w:tc>
          <w:tcPr>
            <w:tcW w:type="dxa" w:w="1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page view</w:t>
            </w:r>
          </w:p>
        </w:tc>
        <w:tc>
          <w:tcPr>
            <w:tcW w:type="dxa" w:w="1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-0.013</w:t>
            </w:r>
          </w:p>
        </w:tc>
        <w:tc>
          <w:tcPr>
            <w:tcW w:type="dxa" w:w="4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material linear association is visible in this sample.</w:t>
            </w:r>
          </w:p>
        </w:tc>
      </w:tr>
      <w:tr>
        <w:tc>
          <w:tcPr>
            <w:tcW w:type="dxa" w:w="3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 value vs total clicks</w:t>
            </w:r>
          </w:p>
        </w:tc>
        <w:tc>
          <w:tcPr>
            <w:tcW w:type="dxa" w:w="1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w:t>
            </w:r>
          </w:p>
        </w:tc>
        <w:tc>
          <w:tcPr>
            <w:tcW w:type="dxa" w:w="1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-0.004</w:t>
            </w:r>
          </w:p>
        </w:tc>
        <w:tc>
          <w:tcPr>
            <w:tcW w:type="dxa" w:w="4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material linear association with recorded value is visible.</w:t>
            </w:r>
          </w:p>
        </w:tc>
      </w:tr>
      <w:tr>
        <w:tc>
          <w:tcPr>
            <w:tcW w:type="dxa" w:w="3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 value vs session depth</w:t>
            </w:r>
          </w:p>
        </w:tc>
        <w:tc>
          <w:tcPr>
            <w:tcW w:type="dxa" w:w="11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w:t>
            </w:r>
          </w:p>
        </w:tc>
        <w:tc>
          <w:tcPr>
            <w:tcW w:type="dxa" w:w="1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-0.016</w:t>
            </w:r>
          </w:p>
        </w:tc>
        <w:tc>
          <w:tcPr>
            <w:tcW w:type="dxa" w:w="40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material linear association with session depth is visible.</w:t>
            </w:r>
          </w:p>
        </w:tc>
      </w:tr>
      <w:tr>
        <w:tc>
          <w:tcPr>
            <w:tcW w:type="dxa" w:w="3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 value vs total time</w:t>
            </w:r>
          </w:p>
        </w:tc>
        <w:tc>
          <w:tcPr>
            <w:tcW w:type="dxa" w:w="11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session</w:t>
            </w:r>
          </w:p>
        </w:tc>
        <w:tc>
          <w:tcPr>
            <w:tcW w:type="dxa" w:w="1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-0.009</w:t>
            </w:r>
          </w:p>
        </w:tc>
        <w:tc>
          <w:tcPr>
            <w:tcW w:type="dxa" w:w="40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material linear association with total session time is visible.</w:t>
            </w:r>
          </w:p>
        </w:tc>
      </w:tr>
    </w:tbl>
    <w:p>
      <w:pPr>
        <w:spacing w:after="140"/>
      </w:pPr>
    </w:p>
    <w:p>
      <w:pPr>
        <w:spacing w:after="120" w:before="0"/>
      </w:pPr>
      <w:r>
        <w:rPr>
          <w:rFonts w:ascii="Calibri" w:cs="Calibri" w:eastAsia="Calibri" w:hAnsi="Calibri"/>
          <w:b w:val="false"/>
          <w:bCs w:val="false"/>
          <w:i w:val="false"/>
          <w:iCs w:val="false"/>
          <w:color w:val="2E3338"/>
          <w:sz w:val="21"/>
          <w:szCs w:val="21"/>
        </w:rPr>
        <w:t xml:space="preserve">Summed engagement correlates with session depth at +0.875, partly because totals accumulate across pages. The corresponding average-per-page relationship is near zero. Segment comparisons should therefore use a per-page-view metric when the goal is to reduce direct dependence on path length.</w:t>
      </w:r>
    </w:p>
    <w:p>
      <w:pPr>
        <w:pStyle w:val="Heading2"/>
        <w:keepNext/>
        <w:spacing w:after="100" w:before="240"/>
      </w:pPr>
      <w:r>
        <w:rPr>
          <w:rFonts w:ascii="Calibri" w:cs="Calibri" w:eastAsia="Calibri" w:hAnsi="Calibri"/>
          <w:b/>
          <w:bCs/>
          <w:color w:val="2E3338"/>
          <w:sz w:val="24"/>
          <w:szCs w:val="24"/>
        </w:rPr>
        <w:t xml:space="preserve">7.5 Raw-metric distribution checks</w:t>
      </w:r>
    </w:p>
    <w:p>
      <w:pPr>
        <w:spacing w:after="120" w:before="0"/>
      </w:pPr>
      <w:r>
        <w:rPr>
          <w:rFonts w:ascii="Calibri" w:cs="Calibri" w:eastAsia="Calibri" w:hAnsi="Calibri"/>
          <w:b w:val="false"/>
          <w:bCs w:val="false"/>
          <w:i w:val="false"/>
          <w:iCs w:val="false"/>
          <w:color w:val="2E3338"/>
          <w:sz w:val="21"/>
          <w:szCs w:val="21"/>
        </w:rPr>
        <w:t xml:space="preserve">Clicks are spread over 1–10 with about 350 page views at each value (goodness-of-fit p = 0.598); scrolls over 1–15 with about 233 each (p = 0.495); seconds on page show no pronounced shape; and sessions by hour range from 30–49 (p = 0.732). These unusually flat bounded distributions, together with the lack of detected associations, are consistent with synthetic or heavily randomised test data; they do not prove how the data was generated.</w:t>
      </w:r>
    </w:p>
    <w:p>
      <w:pPr>
        <w:pStyle w:val="Heading1"/>
        <w:keepNext/>
        <w:spacing w:after="140" w:before="360"/>
      </w:pPr>
      <w:r>
        <w:rPr>
          <w:rFonts w:ascii="Calibri" w:cs="Calibri" w:eastAsia="Calibri" w:hAnsi="Calibri"/>
          <w:b/>
          <w:bCs/>
          <w:color w:val="3D4B7B"/>
          <w:sz w:val="30"/>
          <w:szCs w:val="30"/>
        </w:rPr>
        <w:t xml:space="preserve">8. What this data cannot support</w:t>
      </w:r>
    </w:p>
    <w:p>
      <w:pPr>
        <w:spacing w:after="120" w:before="0"/>
      </w:pPr>
      <w:r>
        <w:rPr>
          <w:rFonts w:ascii="Calibri" w:cs="Calibri" w:eastAsia="Calibri" w:hAnsi="Calibri"/>
          <w:b w:val="false"/>
          <w:bCs w:val="false"/>
          <w:i w:val="false"/>
          <w:iCs w:val="false"/>
          <w:color w:val="2E3338"/>
          <w:sz w:val="21"/>
          <w:szCs w:val="21"/>
        </w:rPr>
        <w:t xml:space="preserve">Stating this explicitly is part of the deliverable. Each item below was measured, not assumed.</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3400"/>
        <w:gridCol w:w="6300"/>
      </w:tblGrid>
      <w:tr>
        <w:trPr>
          <w:tblHeader/>
        </w:trPr>
        <w:tc>
          <w:tcPr>
            <w:tcW w:type="dxa" w:w="34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Metric a stakeholder would ask for</w:t>
            </w:r>
          </w:p>
        </w:tc>
        <w:tc>
          <w:tcPr>
            <w:tcW w:type="dxa" w:w="63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Why it cannot be produced</w:t>
            </w:r>
          </w:p>
        </w:tc>
      </w:tr>
      <w:tr>
        <w:tc>
          <w:tcPr>
            <w:tcW w:type="dxa" w:w="3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Revenue, AOV, revenue per channel</w:t>
            </w:r>
          </w:p>
        </w:tc>
        <w:tc>
          <w:tcPr>
            <w:tcW w:type="dxa" w:w="6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 Value conflicts with Conversion Event; three explicit attribution rules differ by 3.45x (section 6.1).</w:t>
            </w:r>
          </w:p>
        </w:tc>
      </w:tr>
      <w:tr>
        <w:tc>
          <w:tcPr>
            <w:tcW w:type="dxa" w:w="3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Conversion funnel, step-to-step drop-off</w:t>
            </w:r>
          </w:p>
        </w:tc>
        <w:tc>
          <w:tcPr>
            <w:tcW w:type="dxa" w:w="6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paths are ordered within sessions but often conflict with the canonical funnel: 836 sessions do not start on the landing page, 151 start on the cart page, and no page is repeated within a source path array (section 6.4).</w:t>
            </w:r>
          </w:p>
        </w:tc>
      </w:tr>
      <w:tr>
        <w:tc>
          <w:tcPr>
            <w:tcW w:type="dxa" w:w="3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Cart abandonment rate</w:t>
            </w:r>
          </w:p>
        </w:tc>
        <w:tc>
          <w:tcPr>
            <w:tcW w:type="dxa" w:w="6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Reaching the cart changes the purchase rate by 1.4 pp (p = 0.867), and 279 cart actions occur without a cart page. Cart abandonment cannot be interpreted reliably from these fields.</w:t>
            </w:r>
          </w:p>
        </w:tc>
      </w:tr>
      <w:tr>
        <w:tc>
          <w:tcPr>
            <w:tcW w:type="dxa" w:w="3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Any geographic segment or map</w:t>
            </w:r>
          </w:p>
        </w:tc>
        <w:tc>
          <w:tcPr>
            <w:tcW w:type="dxa" w:w="6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Country and City match the working lookup in 22.4% of sessions; p = 0.652 provides no evidence of association in this sample.</w:t>
            </w:r>
          </w:p>
        </w:tc>
      </w:tr>
      <w:tr>
        <w:tc>
          <w:tcPr>
            <w:tcW w:type="dxa" w:w="34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First-observed versus repeat-observed behaviour</w:t>
            </w:r>
          </w:p>
        </w:tc>
        <w:tc>
          <w:tcPr>
            <w:tcW w:type="dxa" w:w="63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visitor key requires validation: 557 sessions belong to User IDs observed in more than one country. First- and repeat-observed groups have similar rates (p = 0.930).</w:t>
            </w:r>
          </w:p>
        </w:tc>
      </w:tr>
      <w:tr>
        <w:tc>
          <w:tcPr>
            <w:tcW w:type="dxa" w:w="34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Channel or device recommendations</w:t>
            </w:r>
          </w:p>
        </w:tc>
        <w:tc>
          <w:tcPr>
            <w:tcW w:type="dxa" w:w="63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omnibus result meets the Bonferroni threshold across twelve exploratory tests. The sample can establish only relatively large differences (section 9).</w:t>
            </w:r>
          </w:p>
        </w:tc>
      </w:tr>
    </w:tbl>
    <w:p>
      <w:pPr>
        <w:pStyle w:val="Heading1"/>
        <w:keepNext/>
        <w:spacing w:after="140" w:before="360"/>
      </w:pPr>
      <w:r>
        <w:rPr>
          <w:rFonts w:ascii="Calibri" w:cs="Calibri" w:eastAsia="Calibri" w:hAnsi="Calibri"/>
          <w:b/>
          <w:bCs/>
          <w:color w:val="3D4B7B"/>
          <w:sz w:val="30"/>
          <w:szCs w:val="30"/>
        </w:rPr>
        <w:t xml:space="preserve">9. Recommendations</w:t>
      </w:r>
    </w:p>
    <w:p>
      <w:pPr>
        <w:pStyle w:val="Heading2"/>
        <w:keepNext/>
        <w:spacing w:after="100" w:before="240"/>
      </w:pPr>
      <w:r>
        <w:rPr>
          <w:rFonts w:ascii="Calibri" w:cs="Calibri" w:eastAsia="Calibri" w:hAnsi="Calibri"/>
          <w:b/>
          <w:bCs/>
          <w:color w:val="2E3338"/>
          <w:sz w:val="24"/>
          <w:szCs w:val="24"/>
        </w:rPr>
        <w:t xml:space="preserve">9.1 Fix the pipeline, in this order</w:t>
      </w:r>
    </w:p>
    <w:p>
      <w:pPr>
        <w:pStyle w:val="ListParagraph"/>
        <w:numPr>
          <w:ilvl w:val="0"/>
          <w:numId w:val="2"/>
        </w:numPr>
        <w:spacing w:after="60"/>
      </w:pPr>
      <w:r>
        <w:rPr>
          <w:rFonts w:ascii="Calibri" w:cs="Calibri" w:eastAsia="Calibri" w:hAnsi="Calibri"/>
          <w:b/>
          <w:bCs/>
          <w:i w:val="false"/>
          <w:iCs w:val="false"/>
          <w:color w:val="2E3338"/>
          <w:sz w:val="21"/>
          <w:szCs w:val="21"/>
        </w:rPr>
        <w:t xml:space="preserve">Bind Purchase Value to the purchase event. </w:t>
      </w:r>
      <w:r>
        <w:rPr>
          <w:rFonts w:ascii="Calibri" w:cs="Calibri" w:eastAsia="Calibri" w:hAnsi="Calibri"/>
          <w:b w:val="false"/>
          <w:bCs w:val="false"/>
          <w:i w:val="false"/>
          <w:iCs w:val="false"/>
          <w:color w:val="2E3338"/>
          <w:sz w:val="21"/>
          <w:szCs w:val="21"/>
        </w:rPr>
        <w:t xml:space="preserve">Write it only on a completed transaction and never otherwise. This single change makes revenue computable and removes the two largest logical findings (435 sessions).</w:t>
      </w:r>
    </w:p>
    <w:p>
      <w:pPr>
        <w:pStyle w:val="ListParagraph"/>
        <w:numPr>
          <w:ilvl w:val="0"/>
          <w:numId w:val="2"/>
        </w:numPr>
        <w:spacing w:after="60"/>
      </w:pPr>
      <w:r>
        <w:rPr>
          <w:rFonts w:ascii="Calibri" w:cs="Calibri" w:eastAsia="Calibri" w:hAnsi="Calibri"/>
          <w:b/>
          <w:bCs/>
          <w:i w:val="false"/>
          <w:iCs w:val="false"/>
          <w:color w:val="2E3338"/>
          <w:sz w:val="21"/>
          <w:szCs w:val="21"/>
        </w:rPr>
        <w:t xml:space="preserve">Emit an ordered event stream with timestamps per page view, </w:t>
      </w:r>
      <w:r>
        <w:rPr>
          <w:rFonts w:ascii="Calibri" w:cs="Calibri" w:eastAsia="Calibri" w:hAnsi="Calibri"/>
          <w:b w:val="false"/>
          <w:bCs w:val="false"/>
          <w:i w:val="false"/>
          <w:iCs w:val="false"/>
          <w:color w:val="2E3338"/>
          <w:sz w:val="21"/>
          <w:szCs w:val="21"/>
        </w:rPr>
        <w:t xml:space="preserve">not three parallel arrays in one row. Order is what turns a page list into a journey; a per-view timestamp also makes session-length and drop-off computable.</w:t>
      </w:r>
    </w:p>
    <w:p>
      <w:pPr>
        <w:pStyle w:val="ListParagraph"/>
        <w:numPr>
          <w:ilvl w:val="0"/>
          <w:numId w:val="2"/>
        </w:numPr>
        <w:spacing w:after="60"/>
      </w:pPr>
      <w:r>
        <w:rPr>
          <w:rFonts w:ascii="Calibri" w:cs="Calibri" w:eastAsia="Calibri" w:hAnsi="Calibri"/>
          <w:b/>
          <w:bCs/>
          <w:i w:val="false"/>
          <w:iCs w:val="false"/>
          <w:color w:val="2E3338"/>
          <w:sz w:val="21"/>
          <w:szCs w:val="21"/>
        </w:rPr>
        <w:t xml:space="preserve">Validate City and Country</w:t>
      </w:r>
      <w:r>
        <w:rPr>
          <w:rFonts w:ascii="Calibri" w:cs="Calibri" w:eastAsia="Calibri" w:hAnsi="Calibri"/>
          <w:b w:val="false"/>
          <w:bCs w:val="false"/>
          <w:i w:val="false"/>
          <w:iCs w:val="false"/>
          <w:color w:val="2E3338"/>
          <w:sz w:val="21"/>
          <w:szCs w:val="21"/>
        </w:rPr>
        <w:t xml:space="preserve"> against one source, or remove the unsupported field; current pairings are not reliable for segmentation.</w:t>
      </w:r>
    </w:p>
    <w:p>
      <w:pPr>
        <w:pStyle w:val="ListParagraph"/>
        <w:numPr>
          <w:ilvl w:val="0"/>
          <w:numId w:val="2"/>
        </w:numPr>
        <w:spacing w:after="60"/>
      </w:pPr>
      <w:r>
        <w:rPr>
          <w:rFonts w:ascii="Calibri" w:cs="Calibri" w:eastAsia="Calibri" w:hAnsi="Calibri"/>
          <w:b/>
          <w:bCs/>
          <w:i w:val="false"/>
          <w:iCs w:val="false"/>
          <w:color w:val="2E3338"/>
          <w:sz w:val="21"/>
          <w:szCs w:val="21"/>
        </w:rPr>
        <w:t xml:space="preserve">Reconcile the cart events with the clickstream at collection time. </w:t>
      </w:r>
      <w:r>
        <w:rPr>
          <w:rFonts w:ascii="Calibri" w:cs="Calibri" w:eastAsia="Calibri" w:hAnsi="Calibri"/>
          <w:b w:val="false"/>
          <w:bCs w:val="false"/>
          <w:i w:val="false"/>
          <w:iCs w:val="false"/>
          <w:color w:val="2E3338"/>
          <w:sz w:val="21"/>
          <w:szCs w:val="21"/>
        </w:rPr>
        <w:t xml:space="preserve">A cart Add with no cart page in the same session should fail validation at the collector, not be discovered in analysis.</w:t>
      </w:r>
    </w:p>
    <w:p>
      <w:pPr>
        <w:pStyle w:val="ListParagraph"/>
        <w:numPr>
          <w:ilvl w:val="0"/>
          <w:numId w:val="2"/>
        </w:numPr>
        <w:spacing w:after="60"/>
      </w:pPr>
      <w:r>
        <w:rPr>
          <w:rFonts w:ascii="Calibri" w:cs="Calibri" w:eastAsia="Calibri" w:hAnsi="Calibri"/>
          <w:b/>
          <w:bCs/>
          <w:i w:val="false"/>
          <w:iCs w:val="false"/>
          <w:color w:val="2E3338"/>
          <w:sz w:val="21"/>
          <w:szCs w:val="21"/>
        </w:rPr>
        <w:t xml:space="preserve">Distinguish "no cart interaction" from "value missing" </w:t>
      </w:r>
      <w:r>
        <w:rPr>
          <w:rFonts w:ascii="Calibri" w:cs="Calibri" w:eastAsia="Calibri" w:hAnsi="Calibri"/>
          <w:b w:val="false"/>
          <w:bCs w:val="false"/>
          <w:i w:val="false"/>
          <w:iCs w:val="false"/>
          <w:color w:val="2E3338"/>
          <w:sz w:val="21"/>
          <w:szCs w:val="21"/>
        </w:rPr>
        <w:t xml:space="preserve">with an explicit value, so 336 blanks stop being an analyst's assumption.</w:t>
      </w:r>
    </w:p>
    <w:p>
      <w:pPr>
        <w:pStyle w:val="ListParagraph"/>
        <w:numPr>
          <w:ilvl w:val="0"/>
          <w:numId w:val="2"/>
        </w:numPr>
        <w:spacing w:after="60"/>
      </w:pPr>
      <w:r>
        <w:rPr>
          <w:rFonts w:ascii="Calibri" w:cs="Calibri" w:eastAsia="Calibri" w:hAnsi="Calibri"/>
          <w:b/>
          <w:bCs/>
          <w:i w:val="false"/>
          <w:iCs w:val="false"/>
          <w:color w:val="2E3338"/>
          <w:sz w:val="21"/>
          <w:szCs w:val="21"/>
        </w:rPr>
        <w:t xml:space="preserve">Use a validated stable person-level key</w:t>
      </w:r>
      <w:r>
        <w:rPr>
          <w:rFonts w:ascii="Calibri" w:cs="Calibri" w:eastAsia="Calibri" w:hAnsi="Calibri"/>
          <w:b w:val="false"/>
          <w:bCs w:val="false"/>
          <w:i w:val="false"/>
          <w:iCs w:val="false"/>
          <w:color w:val="2E3338"/>
          <w:sz w:val="21"/>
          <w:szCs w:val="21"/>
        </w:rPr>
        <w:t xml:space="preserve">, or report only first/repeat observed sessions within the extract.</w:t>
      </w:r>
    </w:p>
    <w:p>
      <w:pPr>
        <w:pStyle w:val="Heading2"/>
        <w:keepNext/>
        <w:spacing w:after="100" w:before="240"/>
      </w:pPr>
      <w:r>
        <w:rPr>
          <w:rFonts w:ascii="Calibri" w:cs="Calibri" w:eastAsia="Calibri" w:hAnsi="Calibri"/>
          <w:b/>
          <w:bCs/>
          <w:color w:val="2E3338"/>
          <w:sz w:val="24"/>
          <w:szCs w:val="24"/>
        </w:rPr>
        <w:t xml:space="preserve">9.2 How much data a decision would need</w:t>
      </w:r>
    </w:p>
    <w:p>
      <w:pPr>
        <w:spacing w:after="120" w:before="0"/>
      </w:pPr>
      <w:r>
        <w:rPr>
          <w:rFonts w:ascii="Calibri" w:cs="Calibri" w:eastAsia="Calibri" w:hAnsi="Calibri"/>
          <w:b w:val="false"/>
          <w:bCs w:val="false"/>
          <w:i w:val="false"/>
          <w:iCs w:val="false"/>
          <w:color w:val="2E3338"/>
          <w:sz w:val="21"/>
          <w:szCs w:val="21"/>
        </w:rPr>
        <w:t xml:space="preserve">With roughly 330 sessions per device and 250 per channel, a 95% interval on a purchase rate near 30% is about ten percentage points wide. That is the smallest difference this dataset could establish, and differences that large are rare in practice. To detect a 5 percentage point difference at a 30% baseline with 80% power, each group needs roughly 1,350 sessions — about four times the current volume. A/B or channel decisions at the current sample size would therefore be underpowered and unreliable.</w:t>
      </w:r>
    </w:p>
    <w:p>
      <w:pPr>
        <w:pStyle w:val="Heading1"/>
        <w:keepNext/>
        <w:spacing w:after="140" w:before="360"/>
      </w:pPr>
      <w:r>
        <w:rPr>
          <w:rFonts w:ascii="Calibri" w:cs="Calibri" w:eastAsia="Calibri" w:hAnsi="Calibri"/>
          <w:b/>
          <w:bCs/>
          <w:color w:val="3D4B7B"/>
          <w:sz w:val="30"/>
          <w:szCs w:val="30"/>
        </w:rPr>
        <w:t xml:space="preserve">10. How every number was verified</w:t>
      </w:r>
    </w:p>
    <w:p>
      <w:pPr>
        <w:spacing w:after="120" w:before="0"/>
      </w:pPr>
      <w:r>
        <w:rPr>
          <w:rFonts w:ascii="Calibri" w:cs="Calibri" w:eastAsia="Calibri" w:hAnsi="Calibri"/>
          <w:b w:val="false"/>
          <w:bCs w:val="false"/>
          <w:i w:val="false"/>
          <w:iCs w:val="false"/>
          <w:color w:val="2E3338"/>
          <w:sz w:val="21"/>
          <w:szCs w:val="21"/>
        </w:rPr>
        <w:t xml:space="preserve">The brief asks for data accuracy, so the checking is part of the deliverable rather than a private step. Four independent layers:</w:t>
      </w:r>
    </w:p>
    <w:p>
      <w:pPr>
        <w:pStyle w:val="ListParagraph"/>
        <w:numPr>
          <w:ilvl w:val="0"/>
          <w:numId w:val="2"/>
        </w:numPr>
        <w:spacing w:after="60"/>
      </w:pPr>
      <w:r>
        <w:rPr>
          <w:rFonts w:ascii="Calibri" w:cs="Calibri" w:eastAsia="Calibri" w:hAnsi="Calibri"/>
          <w:b/>
          <w:bCs/>
          <w:i w:val="false"/>
          <w:iCs w:val="false"/>
          <w:color w:val="2E3338"/>
          <w:sz w:val="21"/>
          <w:szCs w:val="21"/>
        </w:rPr>
        <w:t xml:space="preserve">Self-test on every run. </w:t>
      </w:r>
      <w:r>
        <w:rPr>
          <w:rFonts w:ascii="Calibri" w:cs="Calibri" w:eastAsia="Calibri" w:hAnsi="Calibri"/>
          <w:b w:val="false"/>
          <w:bCs w:val="false"/>
          <w:i w:val="false"/>
          <w:iCs w:val="false"/>
          <w:color w:val="2E3338"/>
          <w:sz w:val="21"/>
          <w:szCs w:val="21"/>
        </w:rPr>
        <w:t xml:space="preserve">42 assertions cover the parsers and the cleaning functions — quoted-token paths, truncated JSON, zero surviving as a value, every dirty variant present in the source, and the header lists matching the rows written. The result is printed into qa_report; a failure is visible to the reader, not swallowed.</w:t>
      </w:r>
    </w:p>
    <w:p>
      <w:pPr>
        <w:pStyle w:val="ListParagraph"/>
        <w:numPr>
          <w:ilvl w:val="0"/>
          <w:numId w:val="2"/>
        </w:numPr>
        <w:spacing w:after="60"/>
      </w:pPr>
      <w:r>
        <w:rPr>
          <w:rFonts w:ascii="Calibri" w:cs="Calibri" w:eastAsia="Calibri" w:hAnsi="Calibri"/>
          <w:b/>
          <w:bCs/>
          <w:i w:val="false"/>
          <w:iCs w:val="false"/>
          <w:color w:val="2E3338"/>
          <w:sz w:val="21"/>
          <w:szCs w:val="21"/>
        </w:rPr>
        <w:t xml:space="preserve">Reconciliation by two independent parsers. </w:t>
      </w:r>
      <w:r>
        <w:rPr>
          <w:rFonts w:ascii="Calibri" w:cs="Calibri" w:eastAsia="Calibri" w:hAnsi="Calibri"/>
          <w:b w:val="false"/>
          <w:bCs w:val="false"/>
          <w:i w:val="false"/>
          <w:iCs w:val="false"/>
          <w:color w:val="2E3338"/>
          <w:sz w:val="21"/>
          <w:szCs w:val="21"/>
        </w:rPr>
        <w:t xml:space="preserve">The page-view count is derived twice — as the sum of path lengths from JSON.parse, and by counting numbers in Time per Page with a regular expression. Both give 3,500. A silent mis-parse would show as a mismatch.</w:t>
      </w:r>
    </w:p>
    <w:p>
      <w:pPr>
        <w:pStyle w:val="ListParagraph"/>
        <w:numPr>
          <w:ilvl w:val="0"/>
          <w:numId w:val="2"/>
        </w:numPr>
        <w:spacing w:after="60"/>
      </w:pPr>
      <w:r>
        <w:rPr>
          <w:rFonts w:ascii="Calibri" w:cs="Calibri" w:eastAsia="Calibri" w:hAnsi="Calibri"/>
          <w:b/>
          <w:bCs/>
          <w:i w:val="false"/>
          <w:iCs w:val="false"/>
          <w:color w:val="2E3338"/>
          <w:sz w:val="21"/>
          <w:szCs w:val="21"/>
        </w:rPr>
        <w:t xml:space="preserve">Cross-table integrity. </w:t>
      </w:r>
      <w:r>
        <w:rPr>
          <w:rFonts w:ascii="Calibri" w:cs="Calibri" w:eastAsia="Calibri" w:hAnsi="Calibri"/>
          <w:b w:val="false"/>
          <w:bCs w:val="false"/>
          <w:i w:val="false"/>
          <w:iCs w:val="false"/>
          <w:color w:val="2E3338"/>
          <w:sz w:val="21"/>
          <w:szCs w:val="21"/>
        </w:rPr>
        <w:t xml:space="preserve">The sum of Page Count over sessions equals the row count of page_views; entry and exit page views each total exactly 1,000; total time and total clicks agree between the two tables to the unit.</w:t>
      </w:r>
    </w:p>
    <w:p>
      <w:pPr>
        <w:pStyle w:val="ListParagraph"/>
        <w:numPr>
          <w:ilvl w:val="0"/>
          <w:numId w:val="2"/>
        </w:numPr>
        <w:spacing w:after="60"/>
      </w:pPr>
      <w:r>
        <w:rPr>
          <w:rFonts w:ascii="Calibri" w:cs="Calibri" w:eastAsia="Calibri" w:hAnsi="Calibri"/>
          <w:b/>
          <w:bCs/>
          <w:i w:val="false"/>
          <w:iCs w:val="false"/>
          <w:color w:val="2E3338"/>
          <w:sz w:val="21"/>
          <w:szCs w:val="21"/>
        </w:rPr>
        <w:t xml:space="preserve">An independent re-implementation. </w:t>
      </w:r>
      <w:r>
        <w:rPr>
          <w:rFonts w:ascii="Calibri" w:cs="Calibri" w:eastAsia="Calibri" w:hAnsi="Calibri"/>
          <w:b w:val="false"/>
          <w:bCs w:val="false"/>
          <w:i w:val="false"/>
          <w:iCs w:val="false"/>
          <w:color w:val="2E3338"/>
          <w:sz w:val="21"/>
          <w:szCs w:val="21"/>
        </w:rPr>
        <w:t xml:space="preserve">Every statistic on the analysis tab was recomputed from the delivered workbook in a separate implementation that shares no code with the spreadsheet — confidence intervals, chi-square p-values, the z-tests, all eight correlations, the uniformity tests and the three revenue rules. 91 of 91 checks agree.</w:t>
      </w:r>
    </w:p>
    <w:p>
      <w:pPr>
        <w:spacing w:after="120" w:before="120"/>
      </w:pPr>
      <w:r>
        <w:rPr>
          <w:rFonts w:ascii="Calibri" w:cs="Calibri" w:eastAsia="Calibri" w:hAnsi="Calibri"/>
          <w:b w:val="false"/>
          <w:bCs w:val="false"/>
          <w:i w:val="false"/>
          <w:iCs w:val="false"/>
          <w:color w:val="2E3338"/>
          <w:sz w:val="21"/>
          <w:szCs w:val="21"/>
        </w:rPr>
        <w:t xml:space="preserve">The independent check was material. Four of 91 checks initially disagreed because the analysis script derived month in the script project's time zone while the workbook used the spreadsheet's. The two differ by more than eight hours, and 26 sessions sit within three hours of a month boundary, so ten of twelve months disagreed with the pivot table built on the same column by one or two sessions. It is now fixed, and the monthly block carries a COUNTIF cross-check column against that column so any future divergence is visible in the sheet rather than hidden in the code.</w:t>
      </w:r>
    </w:p>
    <w:p>
      <w:r>
        <w:br w:type="page"/>
      </w:r>
    </w:p>
    <w:p>
      <w:pPr>
        <w:pStyle w:val="Heading1"/>
        <w:keepNext/>
        <w:spacing w:after="140" w:before="360"/>
      </w:pPr>
      <w:r>
        <w:rPr>
          <w:rFonts w:ascii="Calibri" w:cs="Calibri" w:eastAsia="Calibri" w:hAnsi="Calibri"/>
          <w:b/>
          <w:bCs/>
          <w:color w:val="3D4B7B"/>
          <w:sz w:val="30"/>
          <w:szCs w:val="30"/>
        </w:rPr>
        <w:t xml:space="preserve">Appendix A. Data-quality flag reference</w:t>
      </w:r>
    </w:p>
    <w:p>
      <w:pPr>
        <w:spacing w:after="120" w:before="0"/>
      </w:pPr>
      <w:r>
        <w:rPr>
          <w:rFonts w:ascii="Calibri" w:cs="Calibri" w:eastAsia="Calibri" w:hAnsi="Calibri"/>
          <w:b w:val="false"/>
          <w:bCs w:val="false"/>
          <w:i w:val="false"/>
          <w:iCs w:val="false"/>
          <w:color w:val="2E3338"/>
          <w:sz w:val="21"/>
          <w:szCs w:val="21"/>
        </w:rPr>
        <w:t xml:space="preserve">Each session row carries DQ Severity, DQ Issues (the count of errors and warnings) and DQ Flags (the codes below), so any finding can be filtered or pivoted rather than read as a log.</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2600"/>
        <w:gridCol w:w="1200"/>
        <w:gridCol w:w="5900"/>
      </w:tblGrid>
      <w:tr>
        <w:trPr>
          <w:tblHeader/>
        </w:trPr>
        <w:tc>
          <w:tcPr>
            <w:tcW w:type="dxa" w:w="26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Flag</w:t>
            </w:r>
          </w:p>
        </w:tc>
        <w:tc>
          <w:tcPr>
            <w:tcW w:type="dxa" w:w="1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Severity</w:t>
            </w:r>
          </w:p>
        </w:tc>
        <w:tc>
          <w:tcPr>
            <w:tcW w:type="dxa" w:w="59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Meaning</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GEO_INCONSISTENT</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warning</w:t>
            </w:r>
          </w:p>
        </w:tc>
        <w:tc>
          <w:tcPr>
            <w:tcW w:type="dxa" w:w="5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Country does not match the working city-country lookup. Neither source field is overwritten.</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USER_MULTI_COUNTRY</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warning</w:t>
            </w:r>
          </w:p>
        </w:tc>
        <w:tc>
          <w:tcPr>
            <w:tcW w:type="dxa" w:w="5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The same User ID appears in more than one country.</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CART_BLANK</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info</w:t>
            </w:r>
          </w:p>
        </w:tc>
        <w:tc>
          <w:tcPr>
            <w:tcW w:type="dxa" w:w="5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Cart Changes was blank; read as "No Change" (documented assumption).</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CART_CHANGE_NO_CART</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warning</w:t>
            </w:r>
          </w:p>
        </w:tc>
        <w:tc>
          <w:tcPr>
            <w:tcW w:type="dxa" w:w="5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 cart Add or Remove with no cart page in the path.</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VALUE_NO_PURCHASE</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warning</w:t>
            </w:r>
          </w:p>
        </w:tc>
        <w:tc>
          <w:tcPr>
            <w:tcW w:type="dxa" w:w="5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 Value above zero on a session not marked Purchased.</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PURCHASE_NO_VALUE</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warning</w:t>
            </w:r>
          </w:p>
        </w:tc>
        <w:tc>
          <w:tcPr>
            <w:tcW w:type="dxa" w:w="5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Conversion Event is Purchased but the value is zero.</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ADDTOCART_NO_CART</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warning</w:t>
            </w:r>
          </w:p>
        </w:tc>
        <w:tc>
          <w:tcPr>
            <w:tcW w:type="dxa" w:w="5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Added to Cart with no cart page in the path.</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PURCHASE_NO_CART</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warning</w:t>
            </w:r>
          </w:p>
        </w:tc>
        <w:tc>
          <w:tcPr>
            <w:tcW w:type="dxa" w:w="5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Purchased with no cart page in the path.</w:t>
            </w:r>
          </w:p>
        </w:tc>
      </w:tr>
      <w:tr>
        <w:tc>
          <w:tcPr>
            <w:tcW w:type="dxa" w:w="26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DEV_NORMALISED</w:t>
            </w:r>
          </w:p>
        </w:tc>
        <w:tc>
          <w:tcPr>
            <w:tcW w:type="dxa" w:w="12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info</w:t>
            </w:r>
          </w:p>
        </w:tc>
        <w:tc>
          <w:tcPr>
            <w:tcW w:type="dxa" w:w="59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Device Type was an abbreviation or case variant and was folded.</w:t>
            </w:r>
          </w:p>
        </w:tc>
      </w:tr>
      <w:tr>
        <w:tc>
          <w:tcPr>
            <w:tcW w:type="dxa" w:w="26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SRC_NORMALISED</w:t>
            </w:r>
          </w:p>
        </w:tc>
        <w:tc>
          <w:tcPr>
            <w:tcW w:type="dxa" w:w="12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info</w:t>
            </w:r>
          </w:p>
        </w:tc>
        <w:tc>
          <w:tcPr>
            <w:tcW w:type="dxa" w:w="59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Traffic Source was a spelling variant and was folded.</w:t>
            </w:r>
          </w:p>
        </w:tc>
      </w:tr>
    </w:tbl>
    <w:p>
      <w:pPr>
        <w:spacing w:after="200"/>
      </w:pPr>
    </w:p>
    <w:p>
      <w:pPr>
        <w:spacing w:after="120" w:before="0"/>
      </w:pPr>
      <w:r>
        <w:rPr>
          <w:rFonts w:ascii="Calibri" w:cs="Calibri" w:eastAsia="Calibri" w:hAnsi="Calibri"/>
          <w:b w:val="false"/>
          <w:bCs w:val="false"/>
          <w:i w:val="false"/>
          <w:iCs w:val="false"/>
          <w:color w:val="2E3338"/>
          <w:sz w:val="21"/>
          <w:szCs w:val="21"/>
        </w:rPr>
        <w:t xml:space="preserve">The full registry in the script holds 30 checks; the ten above are the ones this dataset triggers. The remaining twenty — unparsable arrays, length mismatches, unknown page codes, missing metrics, out-of-range times, negative values, duplicate session keys and others — were exercised by injecting deliberately corrupted rows and confirming that each one appears in qa_report with its source row, rather than being assumed to work.</w:t>
      </w:r>
    </w:p>
    <w:p>
      <w:pPr>
        <w:pStyle w:val="Heading1"/>
        <w:keepNext/>
        <w:spacing w:after="140" w:before="360"/>
      </w:pPr>
      <w:r>
        <w:rPr>
          <w:rFonts w:ascii="Calibri" w:cs="Calibri" w:eastAsia="Calibri" w:hAnsi="Calibri"/>
          <w:b/>
          <w:bCs/>
          <w:color w:val="3D4B7B"/>
          <w:sz w:val="30"/>
          <w:szCs w:val="30"/>
        </w:rPr>
        <w:t xml:space="preserve">Appendix B. Reference figures</w:t>
      </w:r>
    </w:p>
    <w:tbl>
      <w:tblPr>
        <w:tblW w:type="dxa" w:w="9700"/>
        <w:tblBorders>
          <w:top w:val="single" w:color="D8DCE3" w:sz="4"/>
          <w:left w:val="none" w:color="FFFFFF" w:sz="0"/>
          <w:bottom w:val="single" w:color="D8DCE3" w:sz="4"/>
          <w:right w:val="none" w:color="FFFFFF" w:sz="0"/>
          <w:insideH w:val="single" w:color="D8DCE3" w:sz="2"/>
          <w:insideV w:val="none" w:color="FFFFFF" w:sz="0"/>
        </w:tblBorders>
      </w:tblPr>
      <w:tblGrid>
        <w:gridCol w:w="4200"/>
        <w:gridCol w:w="5500"/>
      </w:tblGrid>
      <w:tr>
        <w:trPr>
          <w:tblHeader/>
        </w:trPr>
        <w:tc>
          <w:tcPr>
            <w:tcW w:type="dxa" w:w="42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Measure</w:t>
            </w:r>
          </w:p>
        </w:tc>
        <w:tc>
          <w:tcPr>
            <w:tcW w:type="dxa" w:w="5500"/>
            <w:shd w:fill="3D4B7B"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FFFFFF"/>
                <w:sz w:val="18"/>
                <w:szCs w:val="18"/>
              </w:rPr>
              <w:t xml:space="preserve">Value</w:t>
            </w:r>
          </w:p>
        </w:tc>
      </w:tr>
      <w:tr>
        <w:tc>
          <w:tcPr>
            <w:tcW w:type="dxa" w:w="42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Period covered</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 January 2023 – 30 December 2023</w:t>
            </w:r>
          </w:p>
        </w:tc>
      </w:tr>
      <w:tr>
        <w:tc>
          <w:tcPr>
            <w:tcW w:type="dxa" w:w="42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Sessions / distinct users / sessions per user</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1,000 / 642 / 1.56</w:t>
            </w:r>
          </w:p>
        </w:tc>
      </w:tr>
      <w:tr>
        <w:tc>
          <w:tcPr>
            <w:tcW w:type="dxa" w:w="42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Users by session count</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377 with 1, 196 with 2, 48 with 3, 18 with 4, 3 with 5</w:t>
            </w:r>
          </w:p>
        </w:tc>
      </w:tr>
      <w:tr>
        <w:tc>
          <w:tcPr>
            <w:tcW w:type="dxa" w:w="42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Page views / average pages per session</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3,500 / 3.50</w:t>
            </w:r>
          </w:p>
        </w:tc>
      </w:tr>
      <w:tr>
        <w:tc>
          <w:tcPr>
            <w:tcW w:type="dxa" w:w="42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Average session: seconds, clicks, scrolls</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229.6 s, 19.4 clicks, 28.5 scrolls</w:t>
            </w:r>
          </w:p>
        </w:tc>
      </w:tr>
      <w:tr>
        <w:tc>
          <w:tcPr>
            <w:tcW w:type="dxa" w:w="42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Average page view: seconds, clicks, scrolls</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65.6 s, 5.54 clicks, 8.14 scrolls</w:t>
            </w:r>
          </w:p>
        </w:tc>
      </w:tr>
      <w:tr>
        <w:tc>
          <w:tcPr>
            <w:tcW w:type="dxa" w:w="42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Conversion mix</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No Conversion 36.2%, Added to Cart 33.5%, Purchased 30.3%</w:t>
            </w:r>
          </w:p>
        </w:tc>
      </w:tr>
      <w:tr>
        <w:tc>
          <w:tcPr>
            <w:tcW w:type="dxa" w:w="42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Page reach (share of sessions touching a page)</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56.6% – 59.5% across all six pages</w:t>
            </w:r>
          </w:p>
        </w:tc>
      </w:tr>
      <w:tr>
        <w:tc>
          <w:tcPr>
            <w:tcW w:type="dxa" w:w="42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Exit rate by page</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25.4% (Product 4) – 32.3% (Landing)</w:t>
            </w:r>
          </w:p>
        </w:tc>
      </w:tr>
      <w:tr>
        <w:tc>
          <w:tcPr>
            <w:tcW w:type="dxa" w:w="42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Sessions reaching the cart page</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583 (58.3%)</w:t>
            </w:r>
          </w:p>
        </w:tc>
      </w:tr>
      <w:tr>
        <w:tc>
          <w:tcPr>
            <w:tcW w:type="dxa" w:w="4200"/>
            <w:shd w:fill="FFFFFF"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Sessions with at least one quality finding</w:t>
            </w:r>
          </w:p>
        </w:tc>
        <w:tc>
          <w:tcPr>
            <w:tcW w:type="dxa" w:w="5500"/>
            <w:shd w:fill="FFFFFF"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970 of 1,000</w:t>
            </w:r>
          </w:p>
        </w:tc>
      </w:tr>
      <w:tr>
        <w:tc>
          <w:tcPr>
            <w:tcW w:type="dxa" w:w="4200"/>
            <w:shd w:fill="F4F6F9" w:color="auto" w:val="clear"/>
            <w:tcMar>
              <w:top w:type="dxa" w:w="70"/>
              <w:left w:type="dxa" w:w="110"/>
              <w:bottom w:type="dxa" w:w="70"/>
              <w:right w:type="dxa" w:w="110"/>
            </w:tcMar>
          </w:tcPr>
          <w:p>
            <w:pPr>
              <w:spacing w:after="0" w:before="0"/>
            </w:pPr>
            <w:r>
              <w:rPr>
                <w:rFonts w:ascii="Calibri" w:cs="Calibri" w:eastAsia="Calibri" w:hAnsi="Calibri"/>
                <w:b/>
                <w:bCs/>
                <w:i w:val="false"/>
                <w:iCs w:val="false"/>
                <w:color w:val="2E3338"/>
                <w:sz w:val="18"/>
                <w:szCs w:val="18"/>
              </w:rPr>
              <w:t xml:space="preserve">Errors / warnings / info in the audit</w:t>
            </w:r>
          </w:p>
        </w:tc>
        <w:tc>
          <w:tcPr>
            <w:tcW w:type="dxa" w:w="5500"/>
            <w:shd w:fill="F4F6F9" w:color="auto" w:val="clear"/>
            <w:tcMar>
              <w:top w:type="dxa" w:w="70"/>
              <w:left w:type="dxa" w:w="110"/>
              <w:bottom w:type="dxa" w:w="70"/>
              <w:right w:type="dxa" w:w="110"/>
            </w:tcMar>
          </w:tcPr>
          <w:p>
            <w:pPr>
              <w:spacing w:after="0" w:before="0"/>
            </w:pPr>
            <w:r>
              <w:rPr>
                <w:rFonts w:ascii="Calibri" w:cs="Calibri" w:eastAsia="Calibri" w:hAnsi="Calibri"/>
                <w:b w:val="false"/>
                <w:bCs w:val="false"/>
                <w:i w:val="false"/>
                <w:iCs w:val="false"/>
                <w:color w:val="2E3338"/>
                <w:sz w:val="18"/>
                <w:szCs w:val="18"/>
              </w:rPr>
              <w:t xml:space="preserve">0 / 2,313 / 449</w:t>
            </w:r>
          </w:p>
        </w:tc>
      </w:tr>
    </w:tbl>
    <w:sectPr>
      <w:footerReference w:type="default" r:id="rId7"/>
      <w:pgSz w:w="11906" w:h="16838" w:orient="portrait"/>
      <w:pgMar w:top="1224" w:right="1080" w:bottom="122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Part 5 — Google Sheet and Data Analysis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338"/>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5 — Google Sheet and Data Analysis</dc:title>
  <dc:creator>Part 5 deliverable</dc:creator>
  <dc:description>Normalisation, pivot tables, charts and findings for ecommerce_website_data</dc:description>
  <cp:lastModifiedBy>Un-named</cp:lastModifiedBy>
  <cp:revision>1</cp:revision>
  <dcterms:created xsi:type="dcterms:W3CDTF">2026-08-23T22:47:24.925Z</dcterms:created>
  <dcterms:modified xsi:type="dcterms:W3CDTF">2026-08-23T22:47:24.926Z</dcterms:modified>
</cp:coreProperties>
</file>

<file path=docProps/custom.xml><?xml version="1.0" encoding="utf-8"?>
<Properties xmlns="http://schemas.openxmlformats.org/officeDocument/2006/custom-properties" xmlns:vt="http://schemas.openxmlformats.org/officeDocument/2006/docPropsVTypes"/>
</file>