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S10: Paired Wilcoxon signed-rank tests - effect of removing rare plant and caterpillar species on interaction dissimilarity (Fig. S6). Whole-network (WN) dissimilarity compared (A) between the parasitoid-caterpillar and caterpillar-plant networks at each dataset level, and (B) among dataset reductions (All / Common plants / Common caterpillars) within each network. All tests matched by pair of localities. V, signed-rank statistic; n_pairs, number of locality pairs; P, two-sided P value.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37"/>
        <w:gridCol w:w="4690"/>
        <w:gridCol w:w="4690"/>
        <w:gridCol w:w="1132"/>
        <w:gridCol w:w="1413"/>
        <w:gridCol w:w="1181"/>
        <w:gridCol w:w="1560"/>
      </w:tblGrid>
      <w:tr>
        <w:trPr>
          <w:trHeight w:val="61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n_pairs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significance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networks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 (All)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(All)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networks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 (Common plants)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(Common plants)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Between networks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 (Common caterpillars)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(Common caterpillars)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Within 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 (All)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 (Common plants)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Within 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 (All)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 (Common caterpillars)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Within 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 (Common plants)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 (Common caterpillars)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Within 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(All)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(Common plants)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Within 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(All)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(Common caterpillars)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1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Within Caterpillar-Plant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(Common plants)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(Common caterpillars)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2026-08-09T21:42:14Z</dcterms:modified>
  <cp:category/>
</cp:coreProperties>
</file>