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S6a: Temporal Bray-Curtis dissimilarity (Ohu)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community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Subsampled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Subsampled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999</w:t>
            </w:r>
          </w:p>
        </w:tc>
      </w:tr>
    </w:tbl>
    <w:p>
      <w:pPr>
        <w:pStyle w:val="Titre1"/>
      </w:pPr>
      <w:r>
        <w:t xml:space="preserve">Table S6b: Temporal WN interaction dissimilarity (Ohu)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dataset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Caterpillar–Plant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Caterpillar–Plant (subsampled)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999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Parasitoid–Caterpillar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ml</cp:lastModifiedBy>
  <cp:revision>9</cp:revision>
  <dcterms:created xsi:type="dcterms:W3CDTF">2017-02-28T11:18:00Z</dcterms:created>
  <dcterms:modified xsi:type="dcterms:W3CDTF">2026-08-05T14:06:35Z</dcterms:modified>
  <cp:category/>
</cp:coreProperties>
</file>