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S9: Wilcoxon rank-sum tests - effect of removing rare plant and caterpillar species on interaction dissimilarity (Fig. S6). Whole-network (WN) dissimilarity compared (A) between the parasitoid-caterpillar and caterpillar-plant networks at each dataset level, and (B) among dataset reductions (All / Common plants / Common caterpillars) within each network. Unpaired test; W, rank-sum statistic; P, two-sided P value.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7"/>
        <w:gridCol w:w="4690"/>
        <w:gridCol w:w="4690"/>
        <w:gridCol w:w="1474"/>
        <w:gridCol w:w="1181"/>
        <w:gridCol w:w="1560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networks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(All)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Caterpillar-Plant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plants)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(Common caterpillars)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2026-09-25T14:01:00Z</dcterms:modified>
  <cp:category/>
</cp:coreProperties>
</file>