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S10: Network-level specialization (H2') per locality</w:t>
      </w:r>
    </w:p>
    <w:p>
      <w:pPr>
        <w:pStyle w:val="Titre2"/>
      </w:pPr>
      <w:r>
        <w:t xml:space="preserve">A. Mean H2' (+/- SD) per network and variant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network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n_localities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H2_mean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H2_sd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≥5 reared specimens (parasitoids &amp; caterpillars)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≥5 reared specimens (parasitoids &amp; caterpillars)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species (no threshold)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Caterpillar-Plant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species (no threshold)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Parasitoid-Caterpillar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</w:tr>
    </w:tbl>
    <w:p>
      <w:pPr>
        <w:pStyle w:val="Titre2"/>
      </w:pPr>
      <w:r>
        <w:t xml:space="preserve">B. Wilcoxon rank-sum (Mann-Whitney) tests (per variant)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species (no threshold)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H2' per locality (unpaired)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≥5 reared specimens (parasitoids &amp; caterpillars)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H2' per locality (unpaired)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</cp:lastModifiedBy>
  <cp:revision>9</cp:revision>
  <dcterms:created xsi:type="dcterms:W3CDTF">2017-02-28T11:18:00Z</dcterms:created>
  <dcterms:modified xsi:type="dcterms:W3CDTF">2026-08-10T14:43:07Z</dcterms:modified>
  <cp:category/>
</cp:coreProperties>
</file>