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S1: Spatial trends in monthly climate variables</w:t>
      </w:r>
    </w:p>
    <w:p>
      <w:pPr>
        <w:pStyle w:val="Titre2"/>
      </w:pPr>
      <w:r>
        <w:t xml:space="preserve">Linear mixed-effects models, full monthly resolution (Wald 95% CIs)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conf.high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Minimum temperature (°C)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 (standardised)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Minimum 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Longitude (standardised)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Maximum 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 (standardised)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Maximum 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Longitude (standardised)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Average 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 (standardised)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Average 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Longitude (standardised)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Average precipitation (mm month⁻¹)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 (standardised)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-57.132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-65.633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-48.630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Average precipitation (mm month⁻¹)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Longitude (standardised)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-39.944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-48.446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-31.443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</cp:lastModifiedBy>
  <cp:revision>9</cp:revision>
  <dcterms:created xsi:type="dcterms:W3CDTF">2017-02-28T11:18:00Z</dcterms:created>
  <dcterms:modified xsi:type="dcterms:W3CDTF">2026-08-03T10:40:16Z</dcterms:modified>
  <cp:category/>
</cp:coreProperties>
</file>