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media/image4.pn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keepNext w:val="0"/>
        <w:keepLines w:val="0"/>
        <w:spacing w:before="0" w:after="160" w:line="240" w:lineRule="auto"/>
        <w:jc w:val="center"/>
      </w:pPr>
      <w:r>
        <w:rPr>
          <w:rFonts w:ascii="Times New Roman" w:hAnsi="Times New Roman"/>
          <w:b/>
          <w:color w:val="000000"/>
          <w:sz w:val="24"/>
        </w:rPr>
        <w:t>A PROJECT REPORT</w:t>
      </w:r>
    </w:p>
    <w:p>
      <w:pPr>
        <w:keepNext w:val="0"/>
        <w:keepLines w:val="0"/>
        <w:spacing w:before="0" w:after="240" w:line="240" w:lineRule="auto"/>
        <w:jc w:val="center"/>
      </w:pPr>
      <w:r>
        <w:rPr>
          <w:rFonts w:ascii="Times New Roman" w:hAnsi="Times New Roman"/>
          <w:b/>
          <w:color w:val="000000"/>
          <w:sz w:val="24"/>
        </w:rPr>
        <w:t>ON</w:t>
      </w:r>
    </w:p>
    <w:p>
      <w:pPr>
        <w:keepNext w:val="0"/>
        <w:keepLines w:val="0"/>
        <w:spacing w:before="0" w:after="100" w:line="276" w:lineRule="auto"/>
        <w:jc w:val="center"/>
      </w:pPr>
      <w:r>
        <w:rPr>
          <w:rFonts w:ascii="Times New Roman" w:hAnsi="Times New Roman"/>
          <w:b/>
          <w:color w:val="000000"/>
          <w:sz w:val="36"/>
        </w:rPr>
        <w:t>LOCALMIND</w:t>
      </w:r>
    </w:p>
    <w:p>
      <w:pPr>
        <w:keepNext w:val="0"/>
        <w:keepLines w:val="0"/>
        <w:spacing w:before="0" w:after="360" w:line="276" w:lineRule="auto"/>
        <w:jc w:val="center"/>
      </w:pPr>
      <w:r>
        <w:rPr>
          <w:rFonts w:ascii="Times New Roman" w:hAnsi="Times New Roman"/>
          <w:b/>
          <w:color w:val="000000"/>
          <w:sz w:val="28"/>
        </w:rPr>
        <w:t>Local-First Agentic Knowledge Copilot</w:t>
        <w:br/>
        <w:t>with a Custom MCP Memory Server</w:t>
      </w:r>
    </w:p>
    <w:p>
      <w:pPr>
        <w:keepNext w:val="0"/>
        <w:keepLines w:val="0"/>
        <w:spacing w:before="0" w:after="400" w:line="276" w:lineRule="auto"/>
        <w:jc w:val="center"/>
      </w:pPr>
      <w:r>
        <w:rPr>
          <w:rFonts w:ascii="Times New Roman" w:hAnsi="Times New Roman"/>
          <w:b w:val="0"/>
          <w:color w:val="000000"/>
          <w:sz w:val="24"/>
        </w:rPr>
        <w:t>A project report submitted in partial fulfillment of the requirements</w:t>
        <w:br/>
        <w:t>for the Bachelor of Technology programme</w:t>
      </w:r>
    </w:p>
    <w:p>
      <w:pPr>
        <w:keepNext w:val="0"/>
        <w:keepLines w:val="0"/>
        <w:spacing w:before="0" w:after="360" w:line="276" w:lineRule="auto"/>
        <w:jc w:val="center"/>
      </w:pPr>
      <w:r>
        <w:rPr>
          <w:rFonts w:ascii="Times New Roman" w:hAnsi="Times New Roman"/>
          <w:b w:val="0"/>
          <w:color w:val="000000"/>
          <w:sz w:val="28"/>
        </w:rPr>
        <w:t>BACHELOR OF TECHNOLOGY</w:t>
        <w:br/>
        <w:t>Minors in AIML</w:t>
      </w:r>
    </w:p>
    <w:p>
      <w:pPr>
        <w:keepNext w:val="0"/>
        <w:keepLines w:val="0"/>
        <w:spacing w:before="0" w:after="120" w:line="240" w:lineRule="auto"/>
        <w:jc w:val="center"/>
      </w:pPr>
      <w:r>
        <w:rPr>
          <w:rFonts w:ascii="Times New Roman" w:hAnsi="Times New Roman"/>
          <w:b w:val="0"/>
          <w:color w:val="000000"/>
          <w:sz w:val="24"/>
        </w:rPr>
        <w:t>Submitted By</w:t>
      </w:r>
    </w:p>
    <w:p>
      <w:pPr>
        <w:keepNext w:val="0"/>
        <w:keepLines w:val="0"/>
        <w:spacing w:before="0" w:after="40" w:line="276" w:lineRule="auto"/>
        <w:jc w:val="center"/>
      </w:pPr>
      <w:r>
        <w:rPr>
          <w:rFonts w:ascii="Times New Roman" w:hAnsi="Times New Roman"/>
          <w:b w:val="0"/>
          <w:color w:val="000000"/>
          <w:sz w:val="24"/>
        </w:rPr>
        <w:t>Trijal Burman  —  23070123145</w:t>
      </w:r>
    </w:p>
    <w:p>
      <w:pPr>
        <w:keepNext w:val="0"/>
        <w:keepLines w:val="0"/>
        <w:spacing w:before="0" w:after="40" w:line="276" w:lineRule="auto"/>
        <w:jc w:val="center"/>
      </w:pPr>
      <w:r>
        <w:rPr>
          <w:rFonts w:ascii="Times New Roman" w:hAnsi="Times New Roman"/>
          <w:b w:val="0"/>
          <w:color w:val="000000"/>
          <w:sz w:val="24"/>
        </w:rPr>
        <w:t>Tiya Singh  —  23070123144</w:t>
      </w:r>
    </w:p>
    <w:p>
      <w:pPr>
        <w:keepNext w:val="0"/>
        <w:keepLines w:val="0"/>
        <w:spacing w:before="0" w:after="40" w:line="276" w:lineRule="auto"/>
        <w:jc w:val="center"/>
      </w:pPr>
      <w:r>
        <w:rPr>
          <w:rFonts w:ascii="Times New Roman" w:hAnsi="Times New Roman"/>
          <w:b w:val="0"/>
          <w:color w:val="000000"/>
          <w:sz w:val="24"/>
        </w:rPr>
        <w:t>Gayatri Rajesh Apotikar  —  23070123055</w:t>
      </w:r>
    </w:p>
    <w:p>
      <w:pPr>
        <w:keepNext w:val="0"/>
        <w:keepLines w:val="0"/>
        <w:spacing w:before="0" w:after="40" w:line="276" w:lineRule="auto"/>
        <w:jc w:val="center"/>
      </w:pPr>
      <w:r>
        <w:rPr>
          <w:rFonts w:ascii="Times New Roman" w:hAnsi="Times New Roman"/>
          <w:b w:val="0"/>
          <w:color w:val="000000"/>
          <w:sz w:val="24"/>
        </w:rPr>
        <w:t>Nimita Jestin  —  23070122259</w:t>
      </w:r>
    </w:p>
    <w:p>
      <w:pPr>
        <w:keepNext w:val="0"/>
        <w:keepLines w:val="0"/>
        <w:spacing w:before="440" w:after="160" w:line="240" w:lineRule="auto"/>
        <w:jc w:val="center"/>
      </w:pPr>
      <w:r>
        <w:rPr>
          <w:rFonts w:ascii="Times New Roman" w:hAnsi="Times New Roman"/>
          <w:b w:val="0"/>
          <w:color w:val="000000"/>
          <w:sz w:val="24"/>
        </w:rPr>
        <w:t>UNDER THE GUIDANCE OF</w:t>
      </w:r>
    </w:p>
    <w:p>
      <w:pPr>
        <w:keepNext w:val="0"/>
        <w:keepLines w:val="0"/>
        <w:spacing w:before="0" w:after="640" w:line="240" w:lineRule="auto"/>
        <w:jc w:val="center"/>
      </w:pPr>
      <w:r>
        <w:rPr>
          <w:rFonts w:ascii="Times New Roman" w:hAnsi="Times New Roman"/>
          <w:b/>
          <w:color w:val="000000"/>
          <w:sz w:val="28"/>
        </w:rPr>
        <w:t>Dr. Sonali Kothari</w:t>
      </w:r>
    </w:p>
    <w:p w:rsidR="002B6FB2" w:rsidRDefault="00AF6C1C">
      <w:pPr>
        <w:pBdr>
          <w:top w:val="nil"/>
          <w:left w:val="nil"/>
          <w:bottom w:val="nil"/>
          <w:right w:val="nil"/>
          <w:between w:val="nil"/>
        </w:pBdr>
        <w:spacing w:before="0" w:line="240" w:lineRule="auto"/>
        <w:jc w:val="center"/>
        <w:rPr>
          <w:b/>
          <w:color w:val="000000"/>
          <w:sz w:val="28"/>
          <w:szCs w:val="28"/>
        </w:rPr>
      </w:pPr>
      <w:r>
        <w:rPr>
          <w:b/>
          <w:noProof/>
          <w:sz w:val="28"/>
          <w:szCs w:val="28"/>
          <w:lang w:val="en-IN"/>
        </w:rPr>
        <w:drawing>
          <wp:inline distT="114300" distB="114300" distL="114300" distR="114300">
            <wp:extent cx="5456880" cy="889000"/>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456880" cy="889000"/>
                    </a:xfrm>
                    <a:prstGeom prst="rect">
                      <a:avLst/>
                    </a:prstGeom>
                    <a:ln/>
                  </pic:spPr>
                </pic:pic>
              </a:graphicData>
            </a:graphic>
          </wp:inline>
        </w:drawing>
      </w:r>
    </w:p>
    <w:p w:rsidR="002B6FB2" w:rsidRDefault="00AF6C1C">
      <w:pPr>
        <w:spacing w:before="0" w:line="240" w:lineRule="auto"/>
        <w:jc w:val="center"/>
      </w:pPr>
      <w:r>
        <w:t xml:space="preserve">Pune – 412115, </w:t>
      </w:r>
      <w:r>
        <w:rPr>
          <w:sz w:val="22"/>
          <w:szCs w:val="22"/>
        </w:rPr>
        <w:t>Maharashtra State,</w:t>
      </w:r>
      <w:r>
        <w:t xml:space="preserve"> India</w:t>
      </w:r>
      <w:r>
        <w:br/>
      </w:r>
      <w:hyperlink r:id="rId9">
        <w:r>
          <w:rPr>
            <w:color w:val="0000FF"/>
            <w:u w:val="single"/>
          </w:rPr>
          <w:t>https://www.sitpune.edu.in/</w:t>
        </w:r>
      </w:hyperlink>
    </w:p>
    <w:p>
      <w:pPr>
        <w:keepNext w:val="0"/>
        <w:keepLines w:val="0"/>
        <w:spacing w:before="280" w:after="140" w:line="240" w:lineRule="auto"/>
        <w:jc w:val="center"/>
      </w:pPr>
      <w:r>
        <w:rPr>
          <w:rFonts w:ascii="Times New Roman" w:hAnsi="Times New Roman"/>
          <w:b/>
          <w:color w:val="000000"/>
          <w:sz w:val="24"/>
        </w:rPr>
        <w:t>DEPARTMENT: MINORS IN AIML</w:t>
      </w:r>
    </w:p>
    <w:p>
      <w:pPr>
        <w:keepNext w:val="0"/>
        <w:keepLines w:val="0"/>
        <w:spacing w:before="0" w:after="0" w:line="240" w:lineRule="auto"/>
        <w:jc w:val="center"/>
      </w:pPr>
      <w:r>
        <w:rPr>
          <w:rFonts w:ascii="Times New Roman" w:hAnsi="Times New Roman"/>
          <w:b/>
          <w:color w:val="000000"/>
          <w:sz w:val="24"/>
        </w:rPr>
        <w:t>ACADEMIC YEAR 23–27</w:t>
      </w:r>
    </w:p>
    <w:p w:rsidR="002B6FB2" w:rsidRDefault="00AF6C1C">
      <w:pPr>
        <w:spacing w:before="0" w:line="240" w:lineRule="auto"/>
        <w:jc w:val="center"/>
        <w:rPr>
          <w:b/>
          <w:color w:val="000000"/>
          <w:sz w:val="28"/>
          <w:szCs w:val="28"/>
        </w:rPr>
        <w:pageBreakBefore/>
      </w:pPr>
      <w:r>
        <w:rPr>
          <w:b/>
          <w:noProof/>
          <w:sz w:val="28"/>
          <w:szCs w:val="28"/>
          <w:lang w:val="en-IN"/>
        </w:rPr>
        <w:drawing>
          <wp:inline distT="114300" distB="114300" distL="114300" distR="114300">
            <wp:extent cx="5456880" cy="889000"/>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456880" cy="889000"/>
                    </a:xfrm>
                    <a:prstGeom prst="rect">
                      <a:avLst/>
                    </a:prstGeom>
                    <a:ln/>
                  </pic:spPr>
                </pic:pic>
              </a:graphicData>
            </a:graphic>
          </wp:inline>
        </w:drawing>
      </w:r>
    </w:p>
    <w:p w:rsidR="002B6FB2" w:rsidRDefault="00AF6C1C">
      <w:pPr>
        <w:spacing w:before="0" w:line="240" w:lineRule="auto"/>
        <w:jc w:val="center"/>
      </w:pPr>
      <w:r>
        <w:t xml:space="preserve">Pune – 412115, </w:t>
      </w:r>
      <w:r>
        <w:rPr>
          <w:sz w:val="22"/>
          <w:szCs w:val="22"/>
        </w:rPr>
        <w:t>Maharashtra State,</w:t>
      </w:r>
      <w:r>
        <w:t xml:space="preserve"> India</w:t>
      </w:r>
      <w:r>
        <w:br/>
      </w:r>
      <w:hyperlink r:id="rId10">
        <w:r>
          <w:rPr>
            <w:color w:val="0000FF"/>
            <w:u w:val="single"/>
          </w:rPr>
          <w:t>https://www.sitpune.edu.in/</w:t>
        </w:r>
      </w:hyperlink>
    </w:p>
    <w:p>
      <w:pPr>
        <w:keepNext w:val="0"/>
        <w:keepLines w:val="0"/>
        <w:spacing w:before="400" w:after="320" w:line="276" w:lineRule="auto"/>
        <w:jc w:val="center"/>
      </w:pPr>
      <w:r>
        <w:rPr>
          <w:rFonts w:ascii="Times New Roman" w:hAnsi="Times New Roman"/>
          <w:b/>
          <w:color w:val="000000"/>
          <w:sz w:val="24"/>
        </w:rPr>
        <w:t>DEPARTMENT: MINORS IN AIML</w:t>
      </w:r>
    </w:p>
    <w:p>
      <w:pPr>
        <w:keepNext/>
        <w:keepLines w:val="0"/>
        <w:spacing w:before="0" w:after="280" w:line="276" w:lineRule="auto"/>
        <w:jc w:val="center"/>
      </w:pPr>
      <w:r>
        <w:rPr>
          <w:rFonts w:ascii="Times New Roman" w:hAnsi="Times New Roman"/>
          <w:b/>
          <w:color w:val="000000"/>
          <w:sz w:val="28"/>
        </w:rPr>
        <w:t>CERTIFICATE</w:t>
      </w:r>
    </w:p>
    <w:p>
      <w:pPr>
        <w:keepNext w:val="0"/>
        <w:keepLines w:val="0"/>
        <w:spacing w:before="240" w:after="0" w:line="480" w:lineRule="auto"/>
        <w:jc w:val="both"/>
      </w:pPr>
      <w:r>
        <w:rPr>
          <w:rFonts w:ascii="Times New Roman" w:hAnsi="Times New Roman"/>
          <w:b w:val="0"/>
          <w:color w:val="000000"/>
          <w:sz w:val="24"/>
        </w:rPr>
        <w:t>This is to certify that the project work entitled “LocalMind: Local-First Agentic Knowledge Copilot with a Custom MCP Memory Server” has been prepared by Trijal Burman, Tiya Singh, Gayatri Rajesh Apotikar and Nimita Jestin, in partial fulfillment of the requirements of the Bachelor of Technology programme, Minors in AIML, at Symbiosis Institute of Technology, Symbiosis International (Deemed University), Pune, for the academic year 23–27.</w:t>
      </w:r>
    </w:p>
    <w:p>
      <w:pPr>
        <w:keepNext w:val="0"/>
        <w:keepLines w:val="0"/>
        <w:spacing w:before="300" w:after="1100" w:line="276" w:lineRule="auto"/>
        <w:jc w:val="left"/>
      </w:pPr>
      <w:r>
        <w:rPr>
          <w:rFonts w:ascii="Times New Roman" w:hAnsi="Times New Roman"/>
          <w:b w:val="0"/>
          <w:color w:val="000000"/>
          <w:sz w:val="22"/>
        </w:rPr>
        <w:t>Faculty certification and approval are to be completed after institutional review.</w:t>
      </w:r>
    </w:p>
    <w:tbl>
      <w:tblPr>
        <w:tblW w:type="auto" w:w="0"/>
        <w:jc w:val="center"/>
        <w:tblLayout w:type="fixed"/>
        <w:tblLook w:firstColumn="1" w:firstRow="1" w:lastColumn="0" w:lastRow="0" w:noHBand="0" w:noVBand="1" w:val="04A0"/>
        <w:tblBorders>
          <w:top w:val="nil" w:sz="4" w:color="D9D9D9"/>
          <w:left w:val="nil" w:sz="4" w:color="D9D9D9"/>
          <w:bottom w:val="nil" w:sz="4" w:color="D9D9D9"/>
          <w:right w:val="nil" w:sz="4" w:color="D9D9D9"/>
          <w:insideH w:val="nil" w:sz="4" w:color="D9D9D9"/>
          <w:insideV w:val="nil" w:sz="4" w:color="D9D9D9"/>
        </w:tblBorders>
        <w:tblCellMar>
          <w:top w:w="65" w:type="dxa"/>
          <w:bottom w:w="65" w:type="dxa"/>
          <w:left w:w="85" w:type="dxa"/>
          <w:right w:w="85" w:type="dxa"/>
        </w:tblCellMar>
      </w:tblPr>
      <w:tblGrid>
        <w:gridCol w:w="2851"/>
        <w:gridCol w:w="2851"/>
        <w:gridCol w:w="2851"/>
      </w:tblGrid>
      <w:tr>
        <w:trPr>
          <w:cantSplit/>
          <w:tblHeader/>
        </w:trPr>
        <w:tc>
          <w:tcPr>
            <w:tcW w:type="dxa" w:w="2851"/>
            <w:vAlign w:val="center"/>
          </w:tcPr>
          <w:p>
            <w:pPr>
              <w:spacing w:before="40" w:after="40" w:line="276" w:lineRule="auto"/>
              <w:jc w:val="left"/>
            </w:pPr>
            <w:r>
              <w:rPr>
                <w:rFonts w:ascii="Times New Roman" w:hAnsi="Times New Roman"/>
                <w:b/>
                <w:color w:val="000000"/>
                <w:sz w:val="24"/>
              </w:rPr>
              <w:t>Guide</w:t>
            </w:r>
          </w:p>
        </w:tc>
        <w:tc>
          <w:tcPr>
            <w:tcW w:type="dxa" w:w="2851"/>
            <w:vAlign w:val="center"/>
          </w:tcPr>
          <w:p>
            <w:pPr>
              <w:spacing w:before="40" w:after="40" w:line="276" w:lineRule="auto"/>
              <w:jc w:val="center"/>
            </w:pPr>
            <w:r>
              <w:rPr>
                <w:rFonts w:ascii="Times New Roman" w:hAnsi="Times New Roman"/>
                <w:b/>
                <w:color w:val="000000"/>
                <w:sz w:val="24"/>
              </w:rPr>
              <w:t>Co-Guide (if applicable)</w:t>
            </w:r>
          </w:p>
        </w:tc>
        <w:tc>
          <w:tcPr>
            <w:tcW w:type="dxa" w:w="2851"/>
            <w:vAlign w:val="center"/>
          </w:tcPr>
          <w:p>
            <w:pPr>
              <w:spacing w:before="40" w:after="40" w:line="276" w:lineRule="auto"/>
              <w:jc w:val="right"/>
            </w:pPr>
            <w:r>
              <w:rPr>
                <w:rFonts w:ascii="Times New Roman" w:hAnsi="Times New Roman"/>
                <w:b/>
                <w:color w:val="000000"/>
                <w:sz w:val="24"/>
              </w:rPr>
              <w:t>Head of Department</w:t>
            </w:r>
          </w:p>
        </w:tc>
      </w:tr>
      <w:tr>
        <w:trPr>
          <w:cantSplit/>
        </w:trPr>
        <w:tc>
          <w:tcPr>
            <w:tcW w:type="dxa" w:w="2851"/>
            <w:vAlign w:val="center"/>
          </w:tcPr>
          <w:p>
            <w:pPr>
              <w:spacing w:before="40" w:after="40" w:line="276" w:lineRule="auto"/>
              <w:jc w:val="left"/>
            </w:pPr>
            <w:r>
              <w:rPr>
                <w:rFonts w:ascii="Times New Roman" w:hAnsi="Times New Roman"/>
                <w:b w:val="0"/>
                <w:color w:val="000000"/>
                <w:sz w:val="24"/>
              </w:rPr>
              <w:t>Dr. Sonali Kothari</w:t>
            </w:r>
          </w:p>
        </w:tc>
        <w:tc>
          <w:tcPr>
            <w:tcW w:type="dxa" w:w="2851"/>
            <w:vAlign w:val="center"/>
          </w:tcPr>
          <w:p>
            <w:pPr>
              <w:spacing w:before="40" w:after="40" w:line="276" w:lineRule="auto"/>
              <w:jc w:val="center"/>
            </w:pPr>
            <w:r>
              <w:rPr>
                <w:rFonts w:ascii="Times New Roman" w:hAnsi="Times New Roman"/>
                <w:b w:val="0"/>
                <w:color w:val="000000"/>
                <w:sz w:val="24"/>
              </w:rPr>
              <w:t>________________</w:t>
            </w:r>
          </w:p>
        </w:tc>
        <w:tc>
          <w:tcPr>
            <w:tcW w:type="dxa" w:w="2851"/>
            <w:vAlign w:val="center"/>
          </w:tcPr>
          <w:p>
            <w:pPr>
              <w:spacing w:before="40" w:after="40" w:line="276" w:lineRule="auto"/>
              <w:jc w:val="right"/>
            </w:pPr>
            <w:r>
              <w:rPr>
                <w:rFonts w:ascii="Times New Roman" w:hAnsi="Times New Roman"/>
                <w:b w:val="0"/>
                <w:color w:val="000000"/>
                <w:sz w:val="24"/>
              </w:rPr>
              <w:t>________________</w:t>
            </w:r>
          </w:p>
        </w:tc>
      </w:tr>
      <w:tr>
        <w:trPr>
          <w:cantSplit/>
        </w:trPr>
        <w:tc>
          <w:tcPr>
            <w:tcW w:type="dxa" w:w="2851"/>
            <w:vAlign w:val="center"/>
          </w:tcPr>
          <w:p>
            <w:pPr>
              <w:spacing w:before="40" w:after="40" w:line="276" w:lineRule="auto"/>
              <w:jc w:val="left"/>
            </w:pPr>
            <w:r>
              <w:rPr>
                <w:rFonts w:ascii="Times New Roman" w:hAnsi="Times New Roman"/>
                <w:b w:val="0"/>
                <w:color w:val="000000"/>
                <w:sz w:val="24"/>
              </w:rPr>
              <w:t>Signature: __________</w:t>
            </w:r>
          </w:p>
        </w:tc>
        <w:tc>
          <w:tcPr>
            <w:tcW w:type="dxa" w:w="2851"/>
            <w:vAlign w:val="center"/>
          </w:tcPr>
          <w:p>
            <w:pPr>
              <w:spacing w:before="40" w:after="40" w:line="276" w:lineRule="auto"/>
              <w:jc w:val="center"/>
            </w:pPr>
            <w:r>
              <w:rPr>
                <w:rFonts w:ascii="Times New Roman" w:hAnsi="Times New Roman"/>
                <w:b w:val="0"/>
                <w:color w:val="000000"/>
                <w:sz w:val="24"/>
              </w:rPr>
              <w:t>Signature: __________</w:t>
            </w:r>
          </w:p>
        </w:tc>
        <w:tc>
          <w:tcPr>
            <w:tcW w:type="dxa" w:w="2851"/>
            <w:vAlign w:val="center"/>
          </w:tcPr>
          <w:p>
            <w:pPr>
              <w:spacing w:before="40" w:after="40" w:line="276" w:lineRule="auto"/>
              <w:jc w:val="right"/>
            </w:pPr>
            <w:r>
              <w:rPr>
                <w:rFonts w:ascii="Times New Roman" w:hAnsi="Times New Roman"/>
                <w:b w:val="0"/>
                <w:color w:val="000000"/>
                <w:sz w:val="24"/>
              </w:rPr>
              <w:t>Signature: __________</w:t>
            </w:r>
          </w:p>
        </w:tc>
      </w:tr>
    </w:tbl>
    <w:p>
      <w:pPr>
        <w:keepNext w:val="0"/>
        <w:keepLines w:val="0"/>
        <w:spacing w:before="700" w:after="0" w:line="480" w:lineRule="auto"/>
        <w:jc w:val="both"/>
      </w:pPr>
      <w:r>
        <w:rPr>
          <w:rFonts w:ascii="Times New Roman" w:hAnsi="Times New Roman"/>
          <w:b w:val="0"/>
          <w:color w:val="000000"/>
          <w:sz w:val="24"/>
        </w:rPr>
        <w:t>Date: __________________</w:t>
      </w:r>
    </w:p>
    <w:p>
      <w:pPr>
        <w:keepNext/>
        <w:keepLines w:val="0"/>
        <w:pageBreakBefore/>
        <w:spacing w:before="0" w:after="280" w:line="276" w:lineRule="auto"/>
        <w:jc w:val="center"/>
      </w:pPr>
      <w:r>
        <w:rPr>
          <w:rFonts w:ascii="Times New Roman" w:hAnsi="Times New Roman"/>
          <w:b/>
          <w:color w:val="000000"/>
          <w:sz w:val="28"/>
        </w:rPr>
        <w:t>DECLARATION</w:t>
      </w:r>
    </w:p>
    <w:p>
      <w:pPr>
        <w:keepNext w:val="0"/>
        <w:keepLines w:val="0"/>
        <w:spacing w:before="240" w:after="0" w:line="480" w:lineRule="auto"/>
        <w:jc w:val="both"/>
      </w:pPr>
      <w:r>
        <w:rPr>
          <w:rFonts w:ascii="Times New Roman" w:hAnsi="Times New Roman"/>
          <w:b w:val="0"/>
          <w:color w:val="000000"/>
          <w:sz w:val="24"/>
        </w:rPr>
        <w:t>We declare that the project entitled “LocalMind: Local-First Agentic Knowledge Copilot with a Custom MCP Memory Server”, submitted to Symbiosis Institute of Technology, Symbiosis International (Deemed University), Pune, is our project work for the Bachelor of Technology programme, Minors in AIML. We are responsible for the claims, sources, evaluation records and final submission contained in this report.</w:t>
      </w:r>
    </w:p>
    <w:p>
      <w:pPr>
        <w:keepNext w:val="0"/>
        <w:keepLines w:val="0"/>
        <w:spacing w:before="240" w:after="0" w:line="480" w:lineRule="auto"/>
        <w:jc w:val="both"/>
      </w:pPr>
      <w:r>
        <w:rPr>
          <w:rFonts w:ascii="Times New Roman" w:hAnsi="Times New Roman"/>
          <w:b w:val="0"/>
          <w:color w:val="000000"/>
          <w:sz w:val="24"/>
        </w:rPr>
        <w:t>Prior research and software sources are acknowledged in the references. AI assistance in software development, experimental support and report drafting is disclosed in Appendix C. We will review this declaration against institutional requirements before signing. No faculty approval, publication or plagiarism score is implied by this unsigned copy.</w:t>
      </w:r>
    </w:p>
    <w:tbl>
      <w:tblPr>
        <w:tblW w:type="auto" w:w="0"/>
        <w:jc w:val="center"/>
        <w:tblLayout w:type="fixed"/>
        <w:tblLook w:firstColumn="1" w:firstRow="1" w:lastColumn="0" w:lastRow="0" w:noHBand="0" w:noVBand="1" w:val="04A0"/>
        <w:tblBorders>
          <w:top w:val="nil" w:sz="4" w:color="D9D9D9"/>
          <w:left w:val="nil" w:sz="4" w:color="D9D9D9"/>
          <w:bottom w:val="nil" w:sz="4" w:color="D9D9D9"/>
          <w:right w:val="nil" w:sz="4" w:color="D9D9D9"/>
          <w:insideH w:val="nil" w:sz="4" w:color="D9D9D9"/>
          <w:insideV w:val="nil" w:sz="4" w:color="D9D9D9"/>
        </w:tblBorders>
        <w:tblCellMar>
          <w:top w:w="65" w:type="dxa"/>
          <w:bottom w:w="65" w:type="dxa"/>
          <w:left w:w="85" w:type="dxa"/>
          <w:right w:w="85" w:type="dxa"/>
        </w:tblCellMar>
      </w:tblPr>
      <w:tblGrid>
        <w:gridCol w:w="5472"/>
        <w:gridCol w:w="3096"/>
      </w:tblGrid>
      <w:tr>
        <w:trPr>
          <w:cantSplit/>
          <w:tblHeader/>
        </w:trPr>
        <w:tc>
          <w:tcPr>
            <w:tcW w:type="dxa" w:w="5472"/>
            <w:vAlign w:val="center"/>
          </w:tcPr>
          <w:p>
            <w:pPr>
              <w:spacing w:before="40" w:after="40" w:line="276" w:lineRule="auto"/>
              <w:jc w:val="left"/>
            </w:pPr>
            <w:r>
              <w:rPr>
                <w:rFonts w:ascii="Times New Roman" w:hAnsi="Times New Roman"/>
                <w:b/>
                <w:color w:val="000000"/>
                <w:sz w:val="24"/>
              </w:rPr>
              <w:t>Name</w:t>
            </w:r>
          </w:p>
        </w:tc>
        <w:tc>
          <w:tcPr>
            <w:tcW w:type="dxa" w:w="3096"/>
            <w:vAlign w:val="center"/>
          </w:tcPr>
          <w:p>
            <w:pPr>
              <w:spacing w:before="40" w:after="40" w:line="276" w:lineRule="auto"/>
              <w:jc w:val="right"/>
            </w:pPr>
            <w:r>
              <w:rPr>
                <w:rFonts w:ascii="Times New Roman" w:hAnsi="Times New Roman"/>
                <w:b/>
                <w:color w:val="000000"/>
                <w:sz w:val="24"/>
              </w:rPr>
              <w:t>PRN</w:t>
            </w:r>
          </w:p>
        </w:tc>
      </w:tr>
      <w:tr>
        <w:trPr>
          <w:cantSplit/>
        </w:trPr>
        <w:tc>
          <w:tcPr>
            <w:tcW w:type="dxa" w:w="5472"/>
            <w:vAlign w:val="center"/>
          </w:tcPr>
          <w:p>
            <w:pPr>
              <w:spacing w:before="40" w:after="40" w:line="276" w:lineRule="auto"/>
              <w:jc w:val="left"/>
            </w:pPr>
            <w:r>
              <w:rPr>
                <w:rFonts w:ascii="Times New Roman" w:hAnsi="Times New Roman"/>
                <w:b w:val="0"/>
                <w:color w:val="000000"/>
                <w:sz w:val="24"/>
              </w:rPr>
              <w:t>Trijal Burman</w:t>
            </w:r>
          </w:p>
        </w:tc>
        <w:tc>
          <w:tcPr>
            <w:tcW w:type="dxa" w:w="3096"/>
            <w:vAlign w:val="center"/>
          </w:tcPr>
          <w:p>
            <w:pPr>
              <w:spacing w:before="40" w:after="40" w:line="276" w:lineRule="auto"/>
              <w:jc w:val="right"/>
            </w:pPr>
            <w:r>
              <w:rPr>
                <w:rFonts w:ascii="Times New Roman" w:hAnsi="Times New Roman"/>
                <w:b w:val="0"/>
                <w:color w:val="000000"/>
                <w:sz w:val="24"/>
              </w:rPr>
              <w:t>23070123145</w:t>
            </w:r>
          </w:p>
        </w:tc>
      </w:tr>
      <w:tr>
        <w:trPr>
          <w:cantSplit/>
        </w:trPr>
        <w:tc>
          <w:tcPr>
            <w:tcW w:type="dxa" w:w="5472"/>
            <w:vAlign w:val="center"/>
          </w:tcPr>
          <w:p>
            <w:pPr>
              <w:spacing w:before="40" w:after="40" w:line="276" w:lineRule="auto"/>
              <w:jc w:val="left"/>
            </w:pPr>
            <w:r>
              <w:rPr>
                <w:rFonts w:ascii="Times New Roman" w:hAnsi="Times New Roman"/>
                <w:b w:val="0"/>
                <w:color w:val="000000"/>
                <w:sz w:val="24"/>
              </w:rPr>
              <w:t>Tiya Singh</w:t>
            </w:r>
          </w:p>
        </w:tc>
        <w:tc>
          <w:tcPr>
            <w:tcW w:type="dxa" w:w="3096"/>
            <w:vAlign w:val="center"/>
          </w:tcPr>
          <w:p>
            <w:pPr>
              <w:spacing w:before="40" w:after="40" w:line="276" w:lineRule="auto"/>
              <w:jc w:val="right"/>
            </w:pPr>
            <w:r>
              <w:rPr>
                <w:rFonts w:ascii="Times New Roman" w:hAnsi="Times New Roman"/>
                <w:b w:val="0"/>
                <w:color w:val="000000"/>
                <w:sz w:val="24"/>
              </w:rPr>
              <w:t>23070123144</w:t>
            </w:r>
          </w:p>
        </w:tc>
      </w:tr>
      <w:tr>
        <w:trPr>
          <w:cantSplit/>
        </w:trPr>
        <w:tc>
          <w:tcPr>
            <w:tcW w:type="dxa" w:w="5472"/>
            <w:vAlign w:val="center"/>
          </w:tcPr>
          <w:p>
            <w:pPr>
              <w:spacing w:before="40" w:after="40" w:line="276" w:lineRule="auto"/>
              <w:jc w:val="left"/>
            </w:pPr>
            <w:r>
              <w:rPr>
                <w:rFonts w:ascii="Times New Roman" w:hAnsi="Times New Roman"/>
                <w:b w:val="0"/>
                <w:color w:val="000000"/>
                <w:sz w:val="24"/>
              </w:rPr>
              <w:t>Gayatri Rajesh Apotikar</w:t>
            </w:r>
          </w:p>
        </w:tc>
        <w:tc>
          <w:tcPr>
            <w:tcW w:type="dxa" w:w="3096"/>
            <w:vAlign w:val="center"/>
          </w:tcPr>
          <w:p>
            <w:pPr>
              <w:spacing w:before="40" w:after="40" w:line="276" w:lineRule="auto"/>
              <w:jc w:val="right"/>
            </w:pPr>
            <w:r>
              <w:rPr>
                <w:rFonts w:ascii="Times New Roman" w:hAnsi="Times New Roman"/>
                <w:b w:val="0"/>
                <w:color w:val="000000"/>
                <w:sz w:val="24"/>
              </w:rPr>
              <w:t>23070123055</w:t>
            </w:r>
          </w:p>
        </w:tc>
      </w:tr>
      <w:tr>
        <w:trPr>
          <w:cantSplit/>
        </w:trPr>
        <w:tc>
          <w:tcPr>
            <w:tcW w:type="dxa" w:w="5472"/>
            <w:vAlign w:val="center"/>
          </w:tcPr>
          <w:p>
            <w:pPr>
              <w:spacing w:before="40" w:after="40" w:line="276" w:lineRule="auto"/>
              <w:jc w:val="left"/>
            </w:pPr>
            <w:r>
              <w:rPr>
                <w:rFonts w:ascii="Times New Roman" w:hAnsi="Times New Roman"/>
                <w:b w:val="0"/>
                <w:color w:val="000000"/>
                <w:sz w:val="24"/>
              </w:rPr>
              <w:t>Nimita Jestin</w:t>
            </w:r>
          </w:p>
        </w:tc>
        <w:tc>
          <w:tcPr>
            <w:tcW w:type="dxa" w:w="3096"/>
            <w:vAlign w:val="center"/>
          </w:tcPr>
          <w:p>
            <w:pPr>
              <w:spacing w:before="40" w:after="40" w:line="276" w:lineRule="auto"/>
              <w:jc w:val="right"/>
            </w:pPr>
            <w:r>
              <w:rPr>
                <w:rFonts w:ascii="Times New Roman" w:hAnsi="Times New Roman"/>
                <w:b w:val="0"/>
                <w:color w:val="000000"/>
                <w:sz w:val="24"/>
              </w:rPr>
              <w:t>23070122259</w:t>
            </w:r>
          </w:p>
        </w:tc>
      </w:tr>
    </w:tbl>
    <w:p>
      <w:pPr>
        <w:keepNext w:val="0"/>
        <w:keepLines w:val="0"/>
        <w:spacing w:before="240" w:after="0" w:line="360" w:lineRule="auto"/>
        <w:jc w:val="left"/>
      </w:pPr>
      <w:r>
        <w:rPr>
          <w:rFonts w:ascii="Times New Roman" w:hAnsi="Times New Roman"/>
          <w:b w:val="0"/>
          <w:color w:val="000000"/>
          <w:sz w:val="24"/>
        </w:rPr>
        <w:t>Department: Minors in AIML</w:t>
        <w:br/>
        <w:t>Academic year: 23–27</w:t>
      </w:r>
    </w:p>
    <w:p>
      <w:pPr>
        <w:keepNext w:val="0"/>
        <w:keepLines w:val="0"/>
        <w:spacing w:before="240" w:after="0" w:line="360" w:lineRule="auto"/>
        <w:jc w:val="left"/>
      </w:pPr>
      <w:r>
        <w:rPr>
          <w:rFonts w:ascii="Times New Roman" w:hAnsi="Times New Roman"/>
          <w:b w:val="0"/>
          <w:color w:val="000000"/>
          <w:sz w:val="24"/>
        </w:rPr>
        <w:t>Student signatures:</w:t>
        <w:br/>
        <w:t>Trijal: __________________  Tiya: __________________</w:t>
        <w:br/>
        <w:t>Gayatri: ________________  Nimita: ________________</w:t>
      </w:r>
    </w:p>
    <w:p>
      <w:pPr>
        <w:keepNext w:val="0"/>
        <w:keepLines w:val="0"/>
        <w:spacing w:before="240" w:after="0" w:line="276" w:lineRule="auto"/>
        <w:jc w:val="both"/>
      </w:pPr>
      <w:r>
        <w:rPr>
          <w:rFonts w:ascii="Times New Roman" w:hAnsi="Times New Roman"/>
          <w:b w:val="0"/>
          <w:color w:val="000000"/>
          <w:sz w:val="24"/>
        </w:rPr>
        <w:t>Date: __________________</w:t>
      </w:r>
    </w:p>
    <w:p>
      <w:pPr>
        <w:keepNext/>
        <w:keepLines w:val="0"/>
        <w:pageBreakBefore/>
        <w:spacing w:before="0" w:after="280" w:line="276" w:lineRule="auto"/>
        <w:jc w:val="center"/>
      </w:pPr>
      <w:r>
        <w:rPr>
          <w:rFonts w:ascii="Times New Roman" w:hAnsi="Times New Roman"/>
          <w:b/>
          <w:color w:val="000000"/>
          <w:sz w:val="28"/>
        </w:rPr>
        <w:t>ACKNOWLEDGEMENT</w:t>
      </w:r>
    </w:p>
    <w:p>
      <w:pPr>
        <w:keepNext w:val="0"/>
        <w:keepLines w:val="0"/>
        <w:spacing w:before="240" w:after="0" w:line="480" w:lineRule="auto"/>
        <w:jc w:val="both"/>
      </w:pPr>
      <w:r>
        <w:rPr>
          <w:rFonts w:ascii="Times New Roman" w:hAnsi="Times New Roman"/>
          <w:b w:val="0"/>
          <w:color w:val="000000"/>
          <w:sz w:val="24"/>
        </w:rPr>
        <w:t>We express our sincere gratitude to our project guide, Dr. Sonali Kothari, for her guidance and supervision of LocalMind. Her support helped us frame the project around practical local knowledge management and the need to evaluate an AI system beyond the fluency of its responses.</w:t>
      </w:r>
    </w:p>
    <w:p>
      <w:pPr>
        <w:keepNext w:val="0"/>
        <w:keepLines w:val="0"/>
        <w:spacing w:before="240" w:after="0" w:line="480" w:lineRule="auto"/>
        <w:jc w:val="both"/>
      </w:pPr>
      <w:r>
        <w:rPr>
          <w:rFonts w:ascii="Times New Roman" w:hAnsi="Times New Roman"/>
          <w:b w:val="0"/>
          <w:color w:val="000000"/>
          <w:sz w:val="24"/>
        </w:rPr>
        <w:t>We thank Symbiosis Institute of Technology, Pune, for the opportunity to undertake this project as part of Minors in AIML. We acknowledge the researchers and maintainers whose openly available work on retrieval, local inference, SQLite and the Model Context Protocol made the implementation and study possible.</w:t>
      </w:r>
    </w:p>
    <w:p>
      <w:pPr>
        <w:keepNext w:val="0"/>
        <w:keepLines w:val="0"/>
        <w:spacing w:before="240" w:after="0" w:line="480" w:lineRule="auto"/>
        <w:jc w:val="both"/>
      </w:pPr>
      <w:r>
        <w:rPr>
          <w:rFonts w:ascii="Times New Roman" w:hAnsi="Times New Roman"/>
          <w:b w:val="0"/>
          <w:color w:val="000000"/>
          <w:sz w:val="24"/>
        </w:rPr>
        <w:t>We also thank our families, classmates and friends for their support. We acknowledge the AI-assisted development and writing process and retain responsibility for checking every submitted claim. In particular, we preserve the unsuccessful experimental outcomes because they are essential to understanding the system and improving it responsibly.</w:t>
      </w:r>
    </w:p>
    <w:p>
      <w:pPr>
        <w:keepNext w:val="0"/>
        <w:keepLines w:val="0"/>
        <w:spacing w:before="480" w:after="0" w:line="360" w:lineRule="auto"/>
        <w:jc w:val="right"/>
      </w:pPr>
      <w:r>
        <w:rPr>
          <w:rFonts w:ascii="Times New Roman" w:hAnsi="Times New Roman"/>
          <w:b w:val="0"/>
          <w:color w:val="000000"/>
          <w:sz w:val="24"/>
        </w:rPr>
        <w:t>Trijal Burman</w:t>
        <w:br/>
        <w:t>Tiya Singh</w:t>
        <w:br/>
        <w:t>Gayatri Rajesh Apotikar</w:t>
        <w:br/>
        <w:t>Nimita Jestin</w:t>
      </w:r>
    </w:p>
    <w:p>
      <w:pPr>
        <w:keepNext/>
        <w:keepLines w:val="0"/>
        <w:pageBreakBefore/>
        <w:spacing w:before="0" w:after="280" w:line="276" w:lineRule="auto"/>
        <w:jc w:val="center"/>
      </w:pPr>
      <w:r>
        <w:rPr>
          <w:rFonts w:ascii="Times New Roman" w:hAnsi="Times New Roman"/>
          <w:b/>
          <w:color w:val="000000"/>
          <w:sz w:val="28"/>
        </w:rPr>
        <w:t>ABSTRACT</w:t>
      </w:r>
    </w:p>
    <w:p>
      <w:pPr>
        <w:keepNext w:val="0"/>
        <w:keepLines w:val="0"/>
        <w:spacing w:before="240" w:after="0" w:line="480" w:lineRule="auto"/>
        <w:jc w:val="both"/>
      </w:pPr>
      <w:r>
        <w:rPr>
          <w:rFonts w:ascii="Times New Roman" w:hAnsi="Times New Roman"/>
          <w:b w:val="0"/>
          <w:color w:val="000000"/>
          <w:sz w:val="24"/>
        </w:rPr>
        <w:t>LocalMind is a local-first knowledge copilot that combines approved-folder indexing, persistent project memory, local language-model inference and a custom Model Context Protocol (MCP) server. The system uses a browser interface, FastAPI, SQLite FTS5, dense cosine retrieval, reciprocal rank fusion and Ollama. It supports source inspection, conversational assistance, document summarization and saved project plans without mandatory paid inference APIs after installation.</w:t>
      </w:r>
    </w:p>
    <w:p>
      <w:pPr>
        <w:keepNext w:val="0"/>
        <w:keepLines w:val="0"/>
        <w:spacing w:before="240" w:after="0" w:line="480" w:lineRule="auto"/>
        <w:jc w:val="both"/>
      </w:pPr>
      <w:r>
        <w:rPr>
          <w:rFonts w:ascii="Times New Roman" w:hAnsi="Times New Roman"/>
          <w:b w:val="0"/>
          <w:color w:val="000000"/>
          <w:sz w:val="24"/>
        </w:rPr>
        <w:t>Evaluation on LM-Synth v1 uses 39 markdown files, 141 chunks and 96 retrieval questions. Historical lexical and hybrid retrieval achieve complete evidence coverage at five candidates on 96/96 questions; dense retrieval achieves 91/96. The original generation paths answer 0/24 positive questions completely after losing the reference block. Following an evaluation-only diagnostic, the production fitter was repaired to measure actual serialized cost. A direct replay retains reference evidence in 64/64 requests and yields 7/24 complete answers for RAG and 3/24 for the MCP agent. Historical summaries retain 10/24 requested facts and were not rerun.</w:t>
      </w:r>
    </w:p>
    <w:p>
      <w:pPr>
        <w:keepNext w:val="0"/>
        <w:keepLines w:val="0"/>
        <w:spacing w:before="240" w:after="0" w:line="480" w:lineRule="auto"/>
        <w:jc w:val="both"/>
      </w:pPr>
      <w:r>
        <w:rPr>
          <w:rFonts w:ascii="Times New Roman" w:hAnsi="Times New Roman"/>
          <w:b w:val="0"/>
          <w:color w:val="000000"/>
          <w:sz w:val="24"/>
        </w:rPr>
        <w:t>The locally applied repair passes 62 Linux tests and 99 tests in the Windows source copy on Linux, with six native Windows checks skipped. The replay reuses inspected questions and is not independent accuracy confirmation. The study demonstrates feasible local integration on a Ryzen 7 250 / RTX 5050 laptop while separating context delivery from remaining passage-selection and generation limits.</w:t>
      </w:r>
    </w:p>
    <w:p>
      <w:pPr>
        <w:keepNext w:val="0"/>
        <w:keepLines w:val="0"/>
        <w:spacing w:before="360" w:after="0" w:line="276" w:lineRule="auto"/>
        <w:jc w:val="both"/>
      </w:pPr>
      <w:r>
        <w:rPr>
          <w:rFonts w:ascii="Times New Roman" w:hAnsi="Times New Roman"/>
          <w:b/>
          <w:color w:val="000000"/>
          <w:sz w:val="24"/>
        </w:rPr>
        <w:t>Keywords: local-first AI; MCP; persistent memory; agentic RAG; SQLite; evidence delivery.</w:t>
      </w:r>
    </w:p>
    <w:p>
      <w:pPr>
        <w:keepNext/>
        <w:keepLines w:val="0"/>
        <w:pageBreakBefore/>
        <w:spacing w:before="0" w:after="280" w:line="276" w:lineRule="auto"/>
        <w:jc w:val="center"/>
      </w:pPr>
      <w:r>
        <w:rPr>
          <w:rFonts w:ascii="Times New Roman" w:hAnsi="Times New Roman"/>
          <w:b/>
          <w:color w:val="000000"/>
          <w:sz w:val="28"/>
        </w:rPr>
        <w:t>TABLE OF CONTENTS</w:t>
      </w:r>
    </w:p>
    <w:tbl>
      <w:tblPr>
        <w:tblW w:type="auto" w:w="0"/>
        <w:jc w:val="center"/>
        <w:tblLayout w:type="fixed"/>
        <w:tblLook w:firstColumn="1" w:firstRow="1" w:lastColumn="0" w:lastRow="0" w:noHBand="0" w:noVBand="1" w:val="04A0"/>
        <w:tblBorders>
          <w:top w:val="nil" w:sz="4" w:color="D9D9D9"/>
          <w:left w:val="nil" w:sz="4" w:color="D9D9D9"/>
          <w:bottom w:val="nil" w:sz="4" w:color="D9D9D9"/>
          <w:right w:val="nil" w:sz="4" w:color="D9D9D9"/>
          <w:insideH w:val="nil" w:sz="4" w:color="D9D9D9"/>
          <w:insideV w:val="nil" w:sz="4" w:color="D9D9D9"/>
        </w:tblBorders>
        <w:tblCellMar>
          <w:top w:w="65" w:type="dxa"/>
          <w:bottom w:w="65" w:type="dxa"/>
          <w:left w:w="85" w:type="dxa"/>
          <w:right w:w="85" w:type="dxa"/>
        </w:tblCellMar>
      </w:tblPr>
      <w:tblGrid>
        <w:gridCol w:w="7704"/>
        <w:gridCol w:w="864"/>
      </w:tblGrid>
      <w:tr>
        <w:trPr>
          <w:cantSplit/>
          <w:tblHeader/>
        </w:trPr>
        <w:tc>
          <w:tcPr>
            <w:tcW w:type="dxa" w:w="7704"/>
            <w:vAlign w:val="center"/>
          </w:tcPr>
          <w:p>
            <w:pPr>
              <w:spacing w:before="40" w:after="40" w:line="276" w:lineRule="auto"/>
              <w:jc w:val="left"/>
            </w:pPr>
            <w:r>
              <w:rPr>
                <w:rFonts w:ascii="Times New Roman" w:hAnsi="Times New Roman"/>
                <w:b/>
                <w:color w:val="000000"/>
                <w:sz w:val="24"/>
              </w:rPr>
              <w:t>Contents</w:t>
            </w:r>
          </w:p>
        </w:tc>
        <w:tc>
          <w:tcPr>
            <w:tcW w:type="dxa" w:w="864"/>
            <w:vAlign w:val="center"/>
          </w:tcPr>
          <w:p>
            <w:pPr>
              <w:spacing w:before="40" w:after="40" w:line="276" w:lineRule="auto"/>
              <w:jc w:val="right"/>
            </w:pPr>
            <w:r>
              <w:rPr>
                <w:rFonts w:ascii="Times New Roman" w:hAnsi="Times New Roman"/>
                <w:b/>
                <w:color w:val="000000"/>
                <w:sz w:val="24"/>
              </w:rPr>
              <w:t>Page</w:t>
            </w:r>
          </w:p>
        </w:tc>
      </w:tr>
      <w:tr>
        <w:trPr>
          <w:cantSplit/>
        </w:trPr>
        <w:tc>
          <w:tcPr>
            <w:tcW w:type="dxa" w:w="7704"/>
            <w:vAlign w:val="center"/>
          </w:tcPr>
          <w:p>
            <w:pPr>
              <w:spacing w:before="40" w:after="40" w:line="276" w:lineRule="auto"/>
              <w:jc w:val="left"/>
            </w:pPr>
            <w:r>
              <w:rPr>
                <w:rFonts w:ascii="Times New Roman" w:hAnsi="Times New Roman"/>
                <w:b w:val="0"/>
                <w:color w:val="000000"/>
                <w:sz w:val="24"/>
              </w:rPr>
              <w:t>Certificate</w:t>
            </w:r>
          </w:p>
        </w:tc>
        <w:tc>
          <w:tcPr>
            <w:tcW w:type="dxa" w:w="864"/>
            <w:vAlign w:val="center"/>
          </w:tcPr>
          <w:p>
            <w:pPr>
              <w:spacing w:before="40" w:after="40" w:line="276" w:lineRule="auto"/>
              <w:jc w:val="right"/>
            </w:pPr>
            <w:r>
              <w:rPr>
                <w:rFonts w:ascii="Times New Roman" w:hAnsi="Times New Roman"/>
                <w:b w:val="0"/>
                <w:color w:val="000000"/>
                <w:sz w:val="24"/>
              </w:rPr>
              <w:t>i</w:t>
            </w:r>
          </w:p>
        </w:tc>
      </w:tr>
      <w:tr>
        <w:trPr>
          <w:cantSplit/>
        </w:trPr>
        <w:tc>
          <w:tcPr>
            <w:tcW w:type="dxa" w:w="7704"/>
            <w:vAlign w:val="center"/>
          </w:tcPr>
          <w:p>
            <w:pPr>
              <w:spacing w:before="40" w:after="40" w:line="276" w:lineRule="auto"/>
              <w:jc w:val="left"/>
            </w:pPr>
            <w:r>
              <w:rPr>
                <w:rFonts w:ascii="Times New Roman" w:hAnsi="Times New Roman"/>
                <w:b w:val="0"/>
                <w:color w:val="000000"/>
                <w:sz w:val="24"/>
              </w:rPr>
              <w:t>Declaration</w:t>
            </w:r>
          </w:p>
        </w:tc>
        <w:tc>
          <w:tcPr>
            <w:tcW w:type="dxa" w:w="864"/>
            <w:vAlign w:val="center"/>
          </w:tcPr>
          <w:p>
            <w:pPr>
              <w:spacing w:before="40" w:after="40" w:line="276" w:lineRule="auto"/>
              <w:jc w:val="right"/>
            </w:pPr>
            <w:r>
              <w:rPr>
                <w:rFonts w:ascii="Times New Roman" w:hAnsi="Times New Roman"/>
                <w:b w:val="0"/>
                <w:color w:val="000000"/>
                <w:sz w:val="24"/>
              </w:rPr>
              <w:t>ii</w:t>
            </w:r>
          </w:p>
        </w:tc>
      </w:tr>
      <w:tr>
        <w:trPr>
          <w:cantSplit/>
        </w:trPr>
        <w:tc>
          <w:tcPr>
            <w:tcW w:type="dxa" w:w="7704"/>
            <w:vAlign w:val="center"/>
          </w:tcPr>
          <w:p>
            <w:pPr>
              <w:spacing w:before="40" w:after="40" w:line="276" w:lineRule="auto"/>
              <w:jc w:val="left"/>
            </w:pPr>
            <w:r>
              <w:rPr>
                <w:rFonts w:ascii="Times New Roman" w:hAnsi="Times New Roman"/>
                <w:b w:val="0"/>
                <w:color w:val="000000"/>
                <w:sz w:val="24"/>
              </w:rPr>
              <w:t>Acknowledgement</w:t>
            </w:r>
          </w:p>
        </w:tc>
        <w:tc>
          <w:tcPr>
            <w:tcW w:type="dxa" w:w="864"/>
            <w:vAlign w:val="center"/>
          </w:tcPr>
          <w:p>
            <w:pPr>
              <w:spacing w:before="40" w:after="40" w:line="276" w:lineRule="auto"/>
              <w:jc w:val="right"/>
            </w:pPr>
            <w:r>
              <w:rPr>
                <w:rFonts w:ascii="Times New Roman" w:hAnsi="Times New Roman"/>
                <w:b w:val="0"/>
                <w:color w:val="000000"/>
                <w:sz w:val="24"/>
              </w:rPr>
              <w:t>iii</w:t>
            </w:r>
          </w:p>
        </w:tc>
      </w:tr>
      <w:tr>
        <w:trPr>
          <w:cantSplit/>
        </w:trPr>
        <w:tc>
          <w:tcPr>
            <w:tcW w:type="dxa" w:w="7704"/>
            <w:vAlign w:val="center"/>
          </w:tcPr>
          <w:p>
            <w:pPr>
              <w:spacing w:before="40" w:after="40" w:line="276" w:lineRule="auto"/>
              <w:jc w:val="left"/>
            </w:pPr>
            <w:r>
              <w:rPr>
                <w:rFonts w:ascii="Times New Roman" w:hAnsi="Times New Roman"/>
                <w:b w:val="0"/>
                <w:color w:val="000000"/>
                <w:sz w:val="24"/>
              </w:rPr>
              <w:t>Abstract</w:t>
            </w:r>
          </w:p>
        </w:tc>
        <w:tc>
          <w:tcPr>
            <w:tcW w:type="dxa" w:w="864"/>
            <w:vAlign w:val="center"/>
          </w:tcPr>
          <w:p>
            <w:pPr>
              <w:spacing w:before="40" w:after="40" w:line="276" w:lineRule="auto"/>
              <w:jc w:val="right"/>
            </w:pPr>
            <w:r>
              <w:rPr>
                <w:rFonts w:ascii="Times New Roman" w:hAnsi="Times New Roman"/>
                <w:b w:val="0"/>
                <w:color w:val="000000"/>
                <w:sz w:val="24"/>
              </w:rPr>
              <w:t>iv</w:t>
            </w:r>
          </w:p>
        </w:tc>
      </w:tr>
      <w:tr>
        <w:trPr>
          <w:cantSplit/>
        </w:trPr>
        <w:tc>
          <w:tcPr>
            <w:tcW w:type="dxa" w:w="7704"/>
            <w:vAlign w:val="center"/>
          </w:tcPr>
          <w:p>
            <w:pPr>
              <w:spacing w:before="40" w:after="40" w:line="276" w:lineRule="auto"/>
              <w:jc w:val="left"/>
            </w:pPr>
            <w:r>
              <w:rPr>
                <w:rFonts w:ascii="Times New Roman" w:hAnsi="Times New Roman"/>
                <w:b w:val="0"/>
                <w:color w:val="000000"/>
                <w:sz w:val="24"/>
              </w:rPr>
              <w:t>Table of Contents</w:t>
            </w:r>
          </w:p>
        </w:tc>
        <w:tc>
          <w:tcPr>
            <w:tcW w:type="dxa" w:w="864"/>
            <w:vAlign w:val="center"/>
          </w:tcPr>
          <w:p>
            <w:pPr>
              <w:spacing w:before="40" w:after="40" w:line="276" w:lineRule="auto"/>
              <w:jc w:val="right"/>
            </w:pPr>
            <w:r>
              <w:rPr>
                <w:rFonts w:ascii="Times New Roman" w:hAnsi="Times New Roman"/>
                <w:b w:val="0"/>
                <w:color w:val="000000"/>
                <w:sz w:val="24"/>
              </w:rPr>
              <w:t>v–vi</w:t>
            </w:r>
          </w:p>
        </w:tc>
      </w:tr>
      <w:tr>
        <w:trPr>
          <w:cantSplit/>
        </w:trPr>
        <w:tc>
          <w:tcPr>
            <w:tcW w:type="dxa" w:w="7704"/>
            <w:vAlign w:val="center"/>
          </w:tcPr>
          <w:p>
            <w:pPr>
              <w:spacing w:before="40" w:after="40" w:line="276" w:lineRule="auto"/>
              <w:jc w:val="left"/>
            </w:pPr>
            <w:r>
              <w:rPr>
                <w:rFonts w:ascii="Times New Roman" w:hAnsi="Times New Roman"/>
                <w:b w:val="0"/>
                <w:color w:val="000000"/>
                <w:sz w:val="24"/>
              </w:rPr>
              <w:t>List of Tables</w:t>
            </w:r>
          </w:p>
        </w:tc>
        <w:tc>
          <w:tcPr>
            <w:tcW w:type="dxa" w:w="864"/>
            <w:vAlign w:val="center"/>
          </w:tcPr>
          <w:p>
            <w:pPr>
              <w:spacing w:before="40" w:after="40" w:line="276" w:lineRule="auto"/>
              <w:jc w:val="right"/>
            </w:pPr>
            <w:r>
              <w:rPr>
                <w:rFonts w:ascii="Times New Roman" w:hAnsi="Times New Roman"/>
                <w:b w:val="0"/>
                <w:color w:val="000000"/>
                <w:sz w:val="24"/>
              </w:rPr>
              <w:t>vii</w:t>
            </w:r>
          </w:p>
        </w:tc>
      </w:tr>
      <w:tr>
        <w:trPr>
          <w:cantSplit/>
        </w:trPr>
        <w:tc>
          <w:tcPr>
            <w:tcW w:type="dxa" w:w="7704"/>
            <w:vAlign w:val="center"/>
          </w:tcPr>
          <w:p>
            <w:pPr>
              <w:spacing w:before="40" w:after="40" w:line="276" w:lineRule="auto"/>
              <w:jc w:val="left"/>
            </w:pPr>
            <w:r>
              <w:rPr>
                <w:rFonts w:ascii="Times New Roman" w:hAnsi="Times New Roman"/>
                <w:b w:val="0"/>
                <w:color w:val="000000"/>
                <w:sz w:val="24"/>
              </w:rPr>
              <w:t>List of Figures</w:t>
            </w:r>
          </w:p>
        </w:tc>
        <w:tc>
          <w:tcPr>
            <w:tcW w:type="dxa" w:w="864"/>
            <w:vAlign w:val="center"/>
          </w:tcPr>
          <w:p>
            <w:pPr>
              <w:spacing w:before="40" w:after="40" w:line="276" w:lineRule="auto"/>
              <w:jc w:val="right"/>
            </w:pPr>
            <w:r>
              <w:rPr>
                <w:rFonts w:ascii="Times New Roman" w:hAnsi="Times New Roman"/>
                <w:b w:val="0"/>
                <w:color w:val="000000"/>
                <w:sz w:val="24"/>
              </w:rPr>
              <w:t>viii</w:t>
            </w:r>
          </w:p>
        </w:tc>
      </w:tr>
      <w:tr>
        <w:trPr>
          <w:cantSplit/>
        </w:trPr>
        <w:tc>
          <w:tcPr>
            <w:tcW w:type="dxa" w:w="7704"/>
            <w:vAlign w:val="center"/>
          </w:tcPr>
          <w:p>
            <w:pPr>
              <w:spacing w:before="40" w:after="40" w:line="276" w:lineRule="auto"/>
              <w:jc w:val="left"/>
            </w:pPr>
            <w:r>
              <w:rPr>
                <w:rFonts w:ascii="Times New Roman" w:hAnsi="Times New Roman"/>
                <w:b w:val="0"/>
                <w:color w:val="000000"/>
                <w:sz w:val="24"/>
              </w:rPr>
              <w:t>List of Abbreviations</w:t>
            </w:r>
          </w:p>
        </w:tc>
        <w:tc>
          <w:tcPr>
            <w:tcW w:type="dxa" w:w="864"/>
            <w:vAlign w:val="center"/>
          </w:tcPr>
          <w:p>
            <w:pPr>
              <w:spacing w:before="40" w:after="40" w:line="276" w:lineRule="auto"/>
              <w:jc w:val="right"/>
            </w:pPr>
            <w:r>
              <w:rPr>
                <w:rFonts w:ascii="Times New Roman" w:hAnsi="Times New Roman"/>
                <w:b w:val="0"/>
                <w:color w:val="000000"/>
                <w:sz w:val="24"/>
              </w:rPr>
              <w:t>ix</w:t>
            </w:r>
          </w:p>
        </w:tc>
      </w:tr>
      <w:tr>
        <w:trPr>
          <w:cantSplit/>
        </w:trPr>
        <w:tc>
          <w:tcPr>
            <w:tcW w:type="dxa" w:w="7704"/>
            <w:vAlign w:val="center"/>
          </w:tcPr>
          <w:p>
            <w:pPr>
              <w:spacing w:before="40" w:after="40" w:line="276" w:lineRule="auto"/>
              <w:jc w:val="left"/>
            </w:pPr>
            <w:r>
              <w:rPr>
                <w:rFonts w:ascii="Times New Roman" w:hAnsi="Times New Roman"/>
                <w:b w:val="0"/>
                <w:color w:val="000000"/>
                <w:sz w:val="24"/>
              </w:rPr>
              <w:t>CHAPTER 1: INTRODUCTION</w:t>
            </w:r>
          </w:p>
        </w:tc>
        <w:tc>
          <w:tcPr>
            <w:tcW w:type="dxa" w:w="864"/>
            <w:vAlign w:val="center"/>
          </w:tcPr>
          <w:p>
            <w:pPr>
              <w:spacing w:before="40" w:after="40" w:line="276" w:lineRule="auto"/>
              <w:jc w:val="right"/>
            </w:pPr>
            <w:r>
              <w:rPr>
                <w:rFonts w:ascii="Times New Roman" w:hAnsi="Times New Roman"/>
                <w:b w:val="0"/>
                <w:color w:val="000000"/>
                <w:sz w:val="24"/>
              </w:rPr>
              <w:t>1</w:t>
            </w:r>
          </w:p>
        </w:tc>
      </w:tr>
      <w:tr>
        <w:trPr>
          <w:cantSplit/>
        </w:trPr>
        <w:tc>
          <w:tcPr>
            <w:tcW w:type="dxa" w:w="7704"/>
            <w:vAlign w:val="center"/>
          </w:tcPr>
          <w:p>
            <w:pPr>
              <w:spacing w:before="40" w:after="40" w:line="276" w:lineRule="auto"/>
              <w:jc w:val="left"/>
            </w:pPr>
            <w:r>
              <w:rPr>
                <w:rFonts w:ascii="Times New Roman" w:hAnsi="Times New Roman"/>
                <w:b w:val="0"/>
                <w:color w:val="000000"/>
                <w:sz w:val="24"/>
              </w:rPr>
              <w:t>1.1 Introduction</w:t>
            </w:r>
          </w:p>
        </w:tc>
        <w:tc>
          <w:tcPr>
            <w:tcW w:type="dxa" w:w="864"/>
            <w:vAlign w:val="center"/>
          </w:tcPr>
          <w:p>
            <w:pPr>
              <w:spacing w:before="40" w:after="40" w:line="276" w:lineRule="auto"/>
              <w:jc w:val="right"/>
            </w:pPr>
            <w:r>
              <w:rPr>
                <w:rFonts w:ascii="Times New Roman" w:hAnsi="Times New Roman"/>
                <w:b w:val="0"/>
                <w:color w:val="000000"/>
                <w:sz w:val="24"/>
              </w:rPr>
              <w:t>1</w:t>
            </w:r>
          </w:p>
        </w:tc>
      </w:tr>
      <w:tr>
        <w:trPr>
          <w:cantSplit/>
        </w:trPr>
        <w:tc>
          <w:tcPr>
            <w:tcW w:type="dxa" w:w="7704"/>
            <w:vAlign w:val="center"/>
          </w:tcPr>
          <w:p>
            <w:pPr>
              <w:spacing w:before="40" w:after="40" w:line="276" w:lineRule="auto"/>
              <w:jc w:val="left"/>
            </w:pPr>
            <w:r>
              <w:rPr>
                <w:rFonts w:ascii="Times New Roman" w:hAnsi="Times New Roman"/>
                <w:b w:val="0"/>
                <w:color w:val="000000"/>
                <w:sz w:val="24"/>
              </w:rPr>
              <w:t>1.2 Problem statement</w:t>
            </w:r>
          </w:p>
        </w:tc>
        <w:tc>
          <w:tcPr>
            <w:tcW w:type="dxa" w:w="864"/>
            <w:vAlign w:val="center"/>
          </w:tcPr>
          <w:p>
            <w:pPr>
              <w:spacing w:before="40" w:after="40" w:line="276" w:lineRule="auto"/>
              <w:jc w:val="right"/>
            </w:pPr>
            <w:r>
              <w:rPr>
                <w:rFonts w:ascii="Times New Roman" w:hAnsi="Times New Roman"/>
                <w:b w:val="0"/>
                <w:color w:val="000000"/>
                <w:sz w:val="24"/>
              </w:rPr>
              <w:t>2</w:t>
            </w:r>
          </w:p>
        </w:tc>
      </w:tr>
      <w:tr>
        <w:trPr>
          <w:cantSplit/>
        </w:trPr>
        <w:tc>
          <w:tcPr>
            <w:tcW w:type="dxa" w:w="7704"/>
            <w:vAlign w:val="center"/>
          </w:tcPr>
          <w:p>
            <w:pPr>
              <w:spacing w:before="40" w:after="40" w:line="276" w:lineRule="auto"/>
              <w:jc w:val="left"/>
            </w:pPr>
            <w:r>
              <w:rPr>
                <w:rFonts w:ascii="Times New Roman" w:hAnsi="Times New Roman"/>
                <w:b w:val="0"/>
                <w:color w:val="000000"/>
                <w:sz w:val="24"/>
              </w:rPr>
              <w:t>1.3 Scope of research / 1.4 Research hypothesis</w:t>
            </w:r>
          </w:p>
        </w:tc>
        <w:tc>
          <w:tcPr>
            <w:tcW w:type="dxa" w:w="864"/>
            <w:vAlign w:val="center"/>
          </w:tcPr>
          <w:p>
            <w:pPr>
              <w:spacing w:before="40" w:after="40" w:line="276" w:lineRule="auto"/>
              <w:jc w:val="right"/>
            </w:pPr>
            <w:r>
              <w:rPr>
                <w:rFonts w:ascii="Times New Roman" w:hAnsi="Times New Roman"/>
                <w:b w:val="0"/>
                <w:color w:val="000000"/>
                <w:sz w:val="24"/>
              </w:rPr>
              <w:t>3</w:t>
            </w:r>
          </w:p>
        </w:tc>
      </w:tr>
      <w:tr>
        <w:trPr>
          <w:cantSplit/>
        </w:trPr>
        <w:tc>
          <w:tcPr>
            <w:tcW w:type="dxa" w:w="7704"/>
            <w:vAlign w:val="center"/>
          </w:tcPr>
          <w:p>
            <w:pPr>
              <w:spacing w:before="40" w:after="40" w:line="276" w:lineRule="auto"/>
              <w:jc w:val="left"/>
            </w:pPr>
            <w:r>
              <w:rPr>
                <w:rFonts w:ascii="Times New Roman" w:hAnsi="Times New Roman"/>
                <w:b w:val="0"/>
                <w:color w:val="000000"/>
                <w:sz w:val="24"/>
              </w:rPr>
              <w:t>1.5 Objectives</w:t>
            </w:r>
          </w:p>
        </w:tc>
        <w:tc>
          <w:tcPr>
            <w:tcW w:type="dxa" w:w="864"/>
            <w:vAlign w:val="center"/>
          </w:tcPr>
          <w:p>
            <w:pPr>
              <w:spacing w:before="40" w:after="40" w:line="276" w:lineRule="auto"/>
              <w:jc w:val="right"/>
            </w:pPr>
            <w:r>
              <w:rPr>
                <w:rFonts w:ascii="Times New Roman" w:hAnsi="Times New Roman"/>
                <w:b w:val="0"/>
                <w:color w:val="000000"/>
                <w:sz w:val="24"/>
              </w:rPr>
              <w:t>4</w:t>
            </w:r>
          </w:p>
        </w:tc>
      </w:tr>
      <w:tr>
        <w:trPr>
          <w:cantSplit/>
        </w:trPr>
        <w:tc>
          <w:tcPr>
            <w:tcW w:type="dxa" w:w="7704"/>
            <w:vAlign w:val="center"/>
          </w:tcPr>
          <w:p>
            <w:pPr>
              <w:spacing w:before="40" w:after="40" w:line="276" w:lineRule="auto"/>
              <w:jc w:val="left"/>
            </w:pPr>
            <w:r>
              <w:rPr>
                <w:rFonts w:ascii="Times New Roman" w:hAnsi="Times New Roman"/>
                <w:b w:val="0"/>
                <w:color w:val="000000"/>
                <w:sz w:val="24"/>
              </w:rPr>
              <w:t>1.6 Organization of the report</w:t>
            </w:r>
          </w:p>
        </w:tc>
        <w:tc>
          <w:tcPr>
            <w:tcW w:type="dxa" w:w="864"/>
            <w:vAlign w:val="center"/>
          </w:tcPr>
          <w:p>
            <w:pPr>
              <w:spacing w:before="40" w:after="40" w:line="276" w:lineRule="auto"/>
              <w:jc w:val="right"/>
            </w:pPr>
            <w:r>
              <w:rPr>
                <w:rFonts w:ascii="Times New Roman" w:hAnsi="Times New Roman"/>
                <w:b w:val="0"/>
                <w:color w:val="000000"/>
                <w:sz w:val="24"/>
              </w:rPr>
              <w:t>5</w:t>
            </w:r>
          </w:p>
        </w:tc>
      </w:tr>
      <w:tr>
        <w:trPr>
          <w:cantSplit/>
        </w:trPr>
        <w:tc>
          <w:tcPr>
            <w:tcW w:type="dxa" w:w="7704"/>
            <w:vAlign w:val="center"/>
          </w:tcPr>
          <w:p>
            <w:pPr>
              <w:spacing w:before="40" w:after="40" w:line="276" w:lineRule="auto"/>
              <w:jc w:val="left"/>
            </w:pPr>
            <w:r>
              <w:rPr>
                <w:rFonts w:ascii="Times New Roman" w:hAnsi="Times New Roman"/>
                <w:b w:val="0"/>
                <w:color w:val="000000"/>
                <w:sz w:val="24"/>
              </w:rPr>
              <w:t>CHAPTER 2: LITERATURE REVIEW</w:t>
            </w:r>
          </w:p>
        </w:tc>
        <w:tc>
          <w:tcPr>
            <w:tcW w:type="dxa" w:w="864"/>
            <w:vAlign w:val="center"/>
          </w:tcPr>
          <w:p>
            <w:pPr>
              <w:spacing w:before="40" w:after="40" w:line="276" w:lineRule="auto"/>
              <w:jc w:val="right"/>
            </w:pPr>
            <w:r>
              <w:rPr>
                <w:rFonts w:ascii="Times New Roman" w:hAnsi="Times New Roman"/>
                <w:b w:val="0"/>
                <w:color w:val="000000"/>
                <w:sz w:val="24"/>
              </w:rPr>
              <w:t>6</w:t>
            </w:r>
          </w:p>
        </w:tc>
      </w:tr>
      <w:tr>
        <w:trPr>
          <w:cantSplit/>
        </w:trPr>
        <w:tc>
          <w:tcPr>
            <w:tcW w:type="dxa" w:w="7704"/>
            <w:vAlign w:val="center"/>
          </w:tcPr>
          <w:p>
            <w:pPr>
              <w:spacing w:before="40" w:after="40" w:line="276" w:lineRule="auto"/>
              <w:jc w:val="left"/>
            </w:pPr>
            <w:r>
              <w:rPr>
                <w:rFonts w:ascii="Times New Roman" w:hAnsi="Times New Roman"/>
                <w:b w:val="0"/>
                <w:color w:val="000000"/>
                <w:sz w:val="24"/>
              </w:rPr>
              <w:t>2.1 Background</w:t>
            </w:r>
          </w:p>
        </w:tc>
        <w:tc>
          <w:tcPr>
            <w:tcW w:type="dxa" w:w="864"/>
            <w:vAlign w:val="center"/>
          </w:tcPr>
          <w:p>
            <w:pPr>
              <w:spacing w:before="40" w:after="40" w:line="276" w:lineRule="auto"/>
              <w:jc w:val="right"/>
            </w:pPr>
            <w:r>
              <w:rPr>
                <w:rFonts w:ascii="Times New Roman" w:hAnsi="Times New Roman"/>
                <w:b w:val="0"/>
                <w:color w:val="000000"/>
                <w:sz w:val="24"/>
              </w:rPr>
              <w:t>6–11</w:t>
            </w:r>
          </w:p>
        </w:tc>
      </w:tr>
      <w:tr>
        <w:trPr>
          <w:cantSplit/>
        </w:trPr>
        <w:tc>
          <w:tcPr>
            <w:tcW w:type="dxa" w:w="7704"/>
            <w:vAlign w:val="center"/>
          </w:tcPr>
          <w:p>
            <w:pPr>
              <w:spacing w:before="40" w:after="40" w:line="276" w:lineRule="auto"/>
              <w:jc w:val="left"/>
            </w:pPr>
            <w:r>
              <w:rPr>
                <w:rFonts w:ascii="Times New Roman" w:hAnsi="Times New Roman"/>
                <w:b w:val="0"/>
                <w:color w:val="000000"/>
                <w:sz w:val="24"/>
              </w:rPr>
              <w:t>2.2 Literature summary and research gap</w:t>
            </w:r>
          </w:p>
        </w:tc>
        <w:tc>
          <w:tcPr>
            <w:tcW w:type="dxa" w:w="864"/>
            <w:vAlign w:val="center"/>
          </w:tcPr>
          <w:p>
            <w:pPr>
              <w:spacing w:before="40" w:after="40" w:line="276" w:lineRule="auto"/>
              <w:jc w:val="right"/>
            </w:pPr>
            <w:r>
              <w:rPr>
                <w:rFonts w:ascii="Times New Roman" w:hAnsi="Times New Roman"/>
                <w:b w:val="0"/>
                <w:color w:val="000000"/>
                <w:sz w:val="24"/>
              </w:rPr>
              <w:t>12</w:t>
            </w:r>
          </w:p>
        </w:tc>
      </w:tr>
      <w:tr>
        <w:trPr>
          <w:cantSplit/>
        </w:trPr>
        <w:tc>
          <w:tcPr>
            <w:tcW w:type="dxa" w:w="7704"/>
            <w:vAlign w:val="center"/>
          </w:tcPr>
          <w:p>
            <w:pPr>
              <w:spacing w:before="40" w:after="40" w:line="276" w:lineRule="auto"/>
              <w:jc w:val="left"/>
            </w:pPr>
            <w:r>
              <w:rPr>
                <w:rFonts w:ascii="Times New Roman" w:hAnsi="Times New Roman"/>
                <w:b w:val="0"/>
                <w:color w:val="000000"/>
                <w:sz w:val="24"/>
              </w:rPr>
              <w:t>CHAPTER 3: SOFTWARE REQUIREMENTS SPECIFICATION</w:t>
            </w:r>
          </w:p>
        </w:tc>
        <w:tc>
          <w:tcPr>
            <w:tcW w:type="dxa" w:w="864"/>
            <w:vAlign w:val="center"/>
          </w:tcPr>
          <w:p>
            <w:pPr>
              <w:spacing w:before="40" w:after="40" w:line="276" w:lineRule="auto"/>
              <w:jc w:val="right"/>
            </w:pPr>
            <w:r>
              <w:rPr>
                <w:rFonts w:ascii="Times New Roman" w:hAnsi="Times New Roman"/>
                <w:b w:val="0"/>
                <w:color w:val="000000"/>
                <w:sz w:val="24"/>
              </w:rPr>
              <w:t>13</w:t>
            </w:r>
          </w:p>
        </w:tc>
      </w:tr>
      <w:tr>
        <w:trPr>
          <w:cantSplit/>
        </w:trPr>
        <w:tc>
          <w:tcPr>
            <w:tcW w:type="dxa" w:w="7704"/>
            <w:vAlign w:val="center"/>
          </w:tcPr>
          <w:p>
            <w:pPr>
              <w:spacing w:before="40" w:after="40" w:line="276" w:lineRule="auto"/>
              <w:jc w:val="left"/>
            </w:pPr>
            <w:r>
              <w:rPr>
                <w:rFonts w:ascii="Times New Roman" w:hAnsi="Times New Roman"/>
                <w:b w:val="0"/>
                <w:color w:val="000000"/>
                <w:sz w:val="24"/>
              </w:rPr>
              <w:t>3.1 Software tools / frameworks</w:t>
            </w:r>
          </w:p>
        </w:tc>
        <w:tc>
          <w:tcPr>
            <w:tcW w:type="dxa" w:w="864"/>
            <w:vAlign w:val="center"/>
          </w:tcPr>
          <w:p>
            <w:pPr>
              <w:spacing w:before="40" w:after="40" w:line="276" w:lineRule="auto"/>
              <w:jc w:val="right"/>
            </w:pPr>
            <w:r>
              <w:rPr>
                <w:rFonts w:ascii="Times New Roman" w:hAnsi="Times New Roman"/>
                <w:b w:val="0"/>
                <w:color w:val="000000"/>
                <w:sz w:val="24"/>
              </w:rPr>
              <w:t>13</w:t>
            </w:r>
          </w:p>
        </w:tc>
      </w:tr>
      <w:tr>
        <w:trPr>
          <w:cantSplit/>
        </w:trPr>
        <w:tc>
          <w:tcPr>
            <w:tcW w:type="dxa" w:w="7704"/>
            <w:vAlign w:val="center"/>
          </w:tcPr>
          <w:p>
            <w:pPr>
              <w:spacing w:before="40" w:after="40" w:line="276" w:lineRule="auto"/>
              <w:jc w:val="left"/>
            </w:pPr>
            <w:r>
              <w:rPr>
                <w:rFonts w:ascii="Times New Roman" w:hAnsi="Times New Roman"/>
                <w:b w:val="0"/>
                <w:color w:val="000000"/>
                <w:sz w:val="24"/>
              </w:rPr>
              <w:t>3.2 Hardware tools</w:t>
            </w:r>
          </w:p>
        </w:tc>
        <w:tc>
          <w:tcPr>
            <w:tcW w:type="dxa" w:w="864"/>
            <w:vAlign w:val="center"/>
          </w:tcPr>
          <w:p>
            <w:pPr>
              <w:spacing w:before="40" w:after="40" w:line="276" w:lineRule="auto"/>
              <w:jc w:val="right"/>
            </w:pPr>
            <w:r>
              <w:rPr>
                <w:rFonts w:ascii="Times New Roman" w:hAnsi="Times New Roman"/>
                <w:b w:val="0"/>
                <w:color w:val="000000"/>
                <w:sz w:val="24"/>
              </w:rPr>
              <w:t>14</w:t>
            </w:r>
          </w:p>
        </w:tc>
      </w:tr>
      <w:tr>
        <w:trPr>
          <w:cantSplit/>
        </w:trPr>
        <w:tc>
          <w:tcPr>
            <w:tcW w:type="dxa" w:w="7704"/>
            <w:vAlign w:val="center"/>
          </w:tcPr>
          <w:p>
            <w:pPr>
              <w:spacing w:before="40" w:after="40" w:line="276" w:lineRule="auto"/>
              <w:jc w:val="left"/>
            </w:pPr>
            <w:r>
              <w:rPr>
                <w:rFonts w:ascii="Times New Roman" w:hAnsi="Times New Roman"/>
                <w:b w:val="0"/>
                <w:color w:val="000000"/>
                <w:sz w:val="24"/>
              </w:rPr>
              <w:t>3.3 Work Breakdown Structure</w:t>
            </w:r>
          </w:p>
        </w:tc>
        <w:tc>
          <w:tcPr>
            <w:tcW w:type="dxa" w:w="864"/>
            <w:vAlign w:val="center"/>
          </w:tcPr>
          <w:p>
            <w:pPr>
              <w:spacing w:before="40" w:after="40" w:line="276" w:lineRule="auto"/>
              <w:jc w:val="right"/>
            </w:pPr>
            <w:r>
              <w:rPr>
                <w:rFonts w:ascii="Times New Roman" w:hAnsi="Times New Roman"/>
                <w:b w:val="0"/>
                <w:color w:val="000000"/>
                <w:sz w:val="24"/>
              </w:rPr>
              <w:t>15</w:t>
            </w:r>
          </w:p>
        </w:tc>
      </w:tr>
      <w:tr>
        <w:trPr>
          <w:cantSplit/>
        </w:trPr>
        <w:tc>
          <w:tcPr>
            <w:tcW w:type="dxa" w:w="7704"/>
            <w:vAlign w:val="center"/>
          </w:tcPr>
          <w:p>
            <w:pPr>
              <w:spacing w:before="40" w:after="40" w:line="276" w:lineRule="auto"/>
              <w:jc w:val="left"/>
            </w:pPr>
            <w:r>
              <w:rPr>
                <w:rFonts w:ascii="Times New Roman" w:hAnsi="Times New Roman"/>
                <w:b w:val="0"/>
                <w:color w:val="000000"/>
                <w:sz w:val="24"/>
              </w:rPr>
              <w:t>3.4 Functional Requirements</w:t>
            </w:r>
          </w:p>
        </w:tc>
        <w:tc>
          <w:tcPr>
            <w:tcW w:type="dxa" w:w="864"/>
            <w:vAlign w:val="center"/>
          </w:tcPr>
          <w:p>
            <w:pPr>
              <w:spacing w:before="40" w:after="40" w:line="276" w:lineRule="auto"/>
              <w:jc w:val="right"/>
            </w:pPr>
            <w:r>
              <w:rPr>
                <w:rFonts w:ascii="Times New Roman" w:hAnsi="Times New Roman"/>
                <w:b w:val="0"/>
                <w:color w:val="000000"/>
                <w:sz w:val="24"/>
              </w:rPr>
              <w:t>16–17</w:t>
            </w:r>
          </w:p>
        </w:tc>
      </w:tr>
      <w:tr>
        <w:trPr>
          <w:cantSplit/>
        </w:trPr>
        <w:tc>
          <w:tcPr>
            <w:tcW w:type="dxa" w:w="7704"/>
            <w:vAlign w:val="center"/>
          </w:tcPr>
          <w:p>
            <w:pPr>
              <w:spacing w:before="40" w:after="40" w:line="276" w:lineRule="auto"/>
              <w:jc w:val="left"/>
            </w:pPr>
            <w:r>
              <w:rPr>
                <w:rFonts w:ascii="Times New Roman" w:hAnsi="Times New Roman"/>
                <w:b w:val="0"/>
                <w:color w:val="000000"/>
                <w:sz w:val="24"/>
              </w:rPr>
              <w:t>3.5 Non Functional Requirements</w:t>
            </w:r>
          </w:p>
        </w:tc>
        <w:tc>
          <w:tcPr>
            <w:tcW w:type="dxa" w:w="864"/>
            <w:vAlign w:val="center"/>
          </w:tcPr>
          <w:p>
            <w:pPr>
              <w:spacing w:before="40" w:after="40" w:line="276" w:lineRule="auto"/>
              <w:jc w:val="right"/>
            </w:pPr>
            <w:r>
              <w:rPr>
                <w:rFonts w:ascii="Times New Roman" w:hAnsi="Times New Roman"/>
                <w:b w:val="0"/>
                <w:color w:val="000000"/>
                <w:sz w:val="24"/>
              </w:rPr>
              <w:t>18</w:t>
            </w:r>
          </w:p>
        </w:tc>
      </w:tr>
      <w:tr>
        <w:trPr>
          <w:cantSplit/>
        </w:trPr>
        <w:tc>
          <w:tcPr>
            <w:tcW w:type="dxa" w:w="7704"/>
            <w:vAlign w:val="center"/>
          </w:tcPr>
          <w:p>
            <w:pPr>
              <w:spacing w:before="40" w:after="40" w:line="276" w:lineRule="auto"/>
              <w:jc w:val="left"/>
            </w:pPr>
            <w:r>
              <w:rPr>
                <w:rFonts w:ascii="Times New Roman" w:hAnsi="Times New Roman"/>
                <w:b w:val="0"/>
                <w:color w:val="000000"/>
                <w:sz w:val="24"/>
              </w:rPr>
              <w:t>3.6 Project Cost Estimation</w:t>
            </w:r>
          </w:p>
        </w:tc>
        <w:tc>
          <w:tcPr>
            <w:tcW w:type="dxa" w:w="864"/>
            <w:vAlign w:val="center"/>
          </w:tcPr>
          <w:p>
            <w:pPr>
              <w:spacing w:before="40" w:after="40" w:line="276" w:lineRule="auto"/>
              <w:jc w:val="right"/>
            </w:pPr>
            <w:r>
              <w:rPr>
                <w:rFonts w:ascii="Times New Roman" w:hAnsi="Times New Roman"/>
                <w:b w:val="0"/>
                <w:color w:val="000000"/>
                <w:sz w:val="24"/>
              </w:rPr>
              <w:t>19</w:t>
            </w:r>
          </w:p>
        </w:tc>
      </w:tr>
    </w:tbl>
    <w:p>
      <w:pPr>
        <w:keepNext/>
        <w:keepLines w:val="0"/>
        <w:pageBreakBefore/>
        <w:spacing w:before="0" w:after="280" w:line="276" w:lineRule="auto"/>
        <w:jc w:val="center"/>
      </w:pPr>
      <w:r>
        <w:rPr>
          <w:rFonts w:ascii="Times New Roman" w:hAnsi="Times New Roman"/>
          <w:b/>
          <w:color w:val="000000"/>
          <w:sz w:val="28"/>
        </w:rPr>
        <w:t>TABLE OF CONTENTS — continued</w:t>
      </w:r>
    </w:p>
    <w:tbl>
      <w:tblPr>
        <w:tblW w:type="auto" w:w="0"/>
        <w:jc w:val="center"/>
        <w:tblLayout w:type="fixed"/>
        <w:tblLook w:firstColumn="1" w:firstRow="1" w:lastColumn="0" w:lastRow="0" w:noHBand="0" w:noVBand="1" w:val="04A0"/>
        <w:tblBorders>
          <w:top w:val="nil" w:sz="4" w:color="D9D9D9"/>
          <w:left w:val="nil" w:sz="4" w:color="D9D9D9"/>
          <w:bottom w:val="nil" w:sz="4" w:color="D9D9D9"/>
          <w:right w:val="nil" w:sz="4" w:color="D9D9D9"/>
          <w:insideH w:val="nil" w:sz="4" w:color="D9D9D9"/>
          <w:insideV w:val="nil" w:sz="4" w:color="D9D9D9"/>
        </w:tblBorders>
        <w:tblCellMar>
          <w:top w:w="65" w:type="dxa"/>
          <w:bottom w:w="65" w:type="dxa"/>
          <w:left w:w="85" w:type="dxa"/>
          <w:right w:w="85" w:type="dxa"/>
        </w:tblCellMar>
      </w:tblPr>
      <w:tblGrid>
        <w:gridCol w:w="7704"/>
        <w:gridCol w:w="864"/>
      </w:tblGrid>
      <w:tr>
        <w:trPr>
          <w:cantSplit/>
          <w:tblHeader/>
        </w:trPr>
        <w:tc>
          <w:tcPr>
            <w:tcW w:type="dxa" w:w="7704"/>
            <w:vAlign w:val="center"/>
          </w:tcPr>
          <w:p>
            <w:pPr>
              <w:spacing w:before="40" w:after="40" w:line="276" w:lineRule="auto"/>
              <w:jc w:val="left"/>
            </w:pPr>
            <w:r>
              <w:rPr>
                <w:rFonts w:ascii="Times New Roman" w:hAnsi="Times New Roman"/>
                <w:b/>
                <w:color w:val="000000"/>
                <w:sz w:val="24"/>
              </w:rPr>
              <w:t>Contents</w:t>
            </w:r>
          </w:p>
        </w:tc>
        <w:tc>
          <w:tcPr>
            <w:tcW w:type="dxa" w:w="864"/>
            <w:vAlign w:val="center"/>
          </w:tcPr>
          <w:p>
            <w:pPr>
              <w:spacing w:before="40" w:after="40" w:line="276" w:lineRule="auto"/>
              <w:jc w:val="right"/>
            </w:pPr>
            <w:r>
              <w:rPr>
                <w:rFonts w:ascii="Times New Roman" w:hAnsi="Times New Roman"/>
                <w:b/>
                <w:color w:val="000000"/>
                <w:sz w:val="24"/>
              </w:rPr>
              <w:t>Page</w:t>
            </w:r>
          </w:p>
        </w:tc>
      </w:tr>
      <w:tr>
        <w:trPr>
          <w:cantSplit/>
        </w:trPr>
        <w:tc>
          <w:tcPr>
            <w:tcW w:type="dxa" w:w="7704"/>
            <w:vAlign w:val="center"/>
          </w:tcPr>
          <w:p>
            <w:pPr>
              <w:spacing w:before="40" w:after="40" w:line="276" w:lineRule="auto"/>
              <w:jc w:val="left"/>
            </w:pPr>
            <w:r>
              <w:rPr>
                <w:rFonts w:ascii="Times New Roman" w:hAnsi="Times New Roman"/>
                <w:b w:val="0"/>
                <w:color w:val="000000"/>
                <w:sz w:val="24"/>
              </w:rPr>
              <w:t>CHAPTER 4: METHODOLOGY</w:t>
            </w:r>
          </w:p>
        </w:tc>
        <w:tc>
          <w:tcPr>
            <w:tcW w:type="dxa" w:w="864"/>
            <w:vAlign w:val="center"/>
          </w:tcPr>
          <w:p>
            <w:pPr>
              <w:spacing w:before="40" w:after="40" w:line="276" w:lineRule="auto"/>
              <w:jc w:val="right"/>
            </w:pPr>
            <w:r>
              <w:rPr>
                <w:rFonts w:ascii="Times New Roman" w:hAnsi="Times New Roman"/>
                <w:b w:val="0"/>
                <w:color w:val="000000"/>
                <w:sz w:val="24"/>
              </w:rPr>
              <w:t>20</w:t>
            </w:r>
          </w:p>
        </w:tc>
      </w:tr>
      <w:tr>
        <w:trPr>
          <w:cantSplit/>
        </w:trPr>
        <w:tc>
          <w:tcPr>
            <w:tcW w:type="dxa" w:w="7704"/>
            <w:vAlign w:val="center"/>
          </w:tcPr>
          <w:p>
            <w:pPr>
              <w:spacing w:before="40" w:after="40" w:line="276" w:lineRule="auto"/>
              <w:jc w:val="left"/>
            </w:pPr>
            <w:r>
              <w:rPr>
                <w:rFonts w:ascii="Times New Roman" w:hAnsi="Times New Roman"/>
                <w:b w:val="0"/>
                <w:color w:val="000000"/>
                <w:sz w:val="24"/>
              </w:rPr>
              <w:t>4.1 System Architecture and Data Model</w:t>
            </w:r>
          </w:p>
        </w:tc>
        <w:tc>
          <w:tcPr>
            <w:tcW w:type="dxa" w:w="864"/>
            <w:vAlign w:val="center"/>
          </w:tcPr>
          <w:p>
            <w:pPr>
              <w:spacing w:before="40" w:after="40" w:line="276" w:lineRule="auto"/>
              <w:jc w:val="right"/>
            </w:pPr>
            <w:r>
              <w:rPr>
                <w:rFonts w:ascii="Times New Roman" w:hAnsi="Times New Roman"/>
                <w:b w:val="0"/>
                <w:color w:val="000000"/>
                <w:sz w:val="24"/>
              </w:rPr>
              <w:t>20–23</w:t>
            </w:r>
          </w:p>
        </w:tc>
      </w:tr>
      <w:tr>
        <w:trPr>
          <w:cantSplit/>
        </w:trPr>
        <w:tc>
          <w:tcPr>
            <w:tcW w:type="dxa" w:w="7704"/>
            <w:vAlign w:val="center"/>
          </w:tcPr>
          <w:p>
            <w:pPr>
              <w:spacing w:before="40" w:after="40" w:line="276" w:lineRule="auto"/>
              <w:jc w:val="left"/>
            </w:pPr>
            <w:r>
              <w:rPr>
                <w:rFonts w:ascii="Times New Roman" w:hAnsi="Times New Roman"/>
                <w:b w:val="0"/>
                <w:color w:val="000000"/>
                <w:sz w:val="24"/>
              </w:rPr>
              <w:t>4.2 Ingestion and Hybrid Retrieval</w:t>
            </w:r>
          </w:p>
        </w:tc>
        <w:tc>
          <w:tcPr>
            <w:tcW w:type="dxa" w:w="864"/>
            <w:vAlign w:val="center"/>
          </w:tcPr>
          <w:p>
            <w:pPr>
              <w:spacing w:before="40" w:after="40" w:line="276" w:lineRule="auto"/>
              <w:jc w:val="right"/>
            </w:pPr>
            <w:r>
              <w:rPr>
                <w:rFonts w:ascii="Times New Roman" w:hAnsi="Times New Roman"/>
                <w:b w:val="0"/>
                <w:color w:val="000000"/>
                <w:sz w:val="24"/>
              </w:rPr>
              <w:t>24–28</w:t>
            </w:r>
          </w:p>
        </w:tc>
      </w:tr>
      <w:tr>
        <w:trPr>
          <w:cantSplit/>
        </w:trPr>
        <w:tc>
          <w:tcPr>
            <w:tcW w:type="dxa" w:w="7704"/>
            <w:vAlign w:val="center"/>
          </w:tcPr>
          <w:p>
            <w:pPr>
              <w:spacing w:before="40" w:after="40" w:line="276" w:lineRule="auto"/>
              <w:jc w:val="left"/>
            </w:pPr>
            <w:r>
              <w:rPr>
                <w:rFonts w:ascii="Times New Roman" w:hAnsi="Times New Roman"/>
                <w:b w:val="0"/>
                <w:color w:val="000000"/>
                <w:sz w:val="24"/>
              </w:rPr>
              <w:t>4.3 MCP and Bounded Agent Execution</w:t>
            </w:r>
          </w:p>
        </w:tc>
        <w:tc>
          <w:tcPr>
            <w:tcW w:type="dxa" w:w="864"/>
            <w:vAlign w:val="center"/>
          </w:tcPr>
          <w:p>
            <w:pPr>
              <w:spacing w:before="40" w:after="40" w:line="276" w:lineRule="auto"/>
              <w:jc w:val="right"/>
            </w:pPr>
            <w:r>
              <w:rPr>
                <w:rFonts w:ascii="Times New Roman" w:hAnsi="Times New Roman"/>
                <w:b w:val="0"/>
                <w:color w:val="000000"/>
                <w:sz w:val="24"/>
              </w:rPr>
              <w:t>29–31</w:t>
            </w:r>
          </w:p>
        </w:tc>
      </w:tr>
      <w:tr>
        <w:trPr>
          <w:cantSplit/>
        </w:trPr>
        <w:tc>
          <w:tcPr>
            <w:tcW w:type="dxa" w:w="7704"/>
            <w:vAlign w:val="center"/>
          </w:tcPr>
          <w:p>
            <w:pPr>
              <w:spacing w:before="40" w:after="40" w:line="276" w:lineRule="auto"/>
              <w:jc w:val="left"/>
            </w:pPr>
            <w:r>
              <w:rPr>
                <w:rFonts w:ascii="Times New Roman" w:hAnsi="Times New Roman"/>
                <w:b w:val="0"/>
                <w:color w:val="000000"/>
                <w:sz w:val="24"/>
              </w:rPr>
              <w:t>4.4 Privacy Controls and Evaluation Protocol</w:t>
            </w:r>
          </w:p>
        </w:tc>
        <w:tc>
          <w:tcPr>
            <w:tcW w:type="dxa" w:w="864"/>
            <w:vAlign w:val="center"/>
          </w:tcPr>
          <w:p>
            <w:pPr>
              <w:spacing w:before="40" w:after="40" w:line="276" w:lineRule="auto"/>
              <w:jc w:val="right"/>
            </w:pPr>
            <w:r>
              <w:rPr>
                <w:rFonts w:ascii="Times New Roman" w:hAnsi="Times New Roman"/>
                <w:b w:val="0"/>
                <w:color w:val="000000"/>
                <w:sz w:val="24"/>
              </w:rPr>
              <w:t>32</w:t>
            </w:r>
          </w:p>
        </w:tc>
      </w:tr>
      <w:tr>
        <w:trPr>
          <w:cantSplit/>
        </w:trPr>
        <w:tc>
          <w:tcPr>
            <w:tcW w:type="dxa" w:w="7704"/>
            <w:vAlign w:val="center"/>
          </w:tcPr>
          <w:p>
            <w:pPr>
              <w:spacing w:before="40" w:after="40" w:line="276" w:lineRule="auto"/>
              <w:jc w:val="left"/>
            </w:pPr>
            <w:r>
              <w:rPr>
                <w:rFonts w:ascii="Times New Roman" w:hAnsi="Times New Roman"/>
                <w:b w:val="0"/>
                <w:color w:val="000000"/>
                <w:sz w:val="24"/>
              </w:rPr>
              <w:t>CHAPTER 5: RESULTS AND DISCUSSION</w:t>
            </w:r>
          </w:p>
        </w:tc>
        <w:tc>
          <w:tcPr>
            <w:tcW w:type="dxa" w:w="864"/>
            <w:vAlign w:val="center"/>
          </w:tcPr>
          <w:p>
            <w:pPr>
              <w:spacing w:before="40" w:after="40" w:line="276" w:lineRule="auto"/>
              <w:jc w:val="right"/>
            </w:pPr>
            <w:r>
              <w:rPr>
                <w:rFonts w:ascii="Times New Roman" w:hAnsi="Times New Roman"/>
                <w:b w:val="0"/>
                <w:color w:val="000000"/>
                <w:sz w:val="24"/>
              </w:rPr>
              <w:t>33</w:t>
            </w:r>
          </w:p>
        </w:tc>
      </w:tr>
      <w:tr>
        <w:trPr>
          <w:cantSplit/>
        </w:trPr>
        <w:tc>
          <w:tcPr>
            <w:tcW w:type="dxa" w:w="7704"/>
            <w:vAlign w:val="center"/>
          </w:tcPr>
          <w:p>
            <w:pPr>
              <w:spacing w:before="40" w:after="40" w:line="276" w:lineRule="auto"/>
              <w:jc w:val="left"/>
            </w:pPr>
            <w:r>
              <w:rPr>
                <w:rFonts w:ascii="Times New Roman" w:hAnsi="Times New Roman"/>
                <w:b w:val="0"/>
                <w:color w:val="000000"/>
                <w:sz w:val="24"/>
              </w:rPr>
              <w:t>5.1 Summary of results and discussion</w:t>
            </w:r>
          </w:p>
        </w:tc>
        <w:tc>
          <w:tcPr>
            <w:tcW w:type="dxa" w:w="864"/>
            <w:vAlign w:val="center"/>
          </w:tcPr>
          <w:p>
            <w:pPr>
              <w:spacing w:before="40" w:after="40" w:line="276" w:lineRule="auto"/>
              <w:jc w:val="right"/>
            </w:pPr>
            <w:r>
              <w:rPr>
                <w:rFonts w:ascii="Times New Roman" w:hAnsi="Times New Roman"/>
                <w:b w:val="0"/>
                <w:color w:val="000000"/>
                <w:sz w:val="24"/>
              </w:rPr>
              <w:t>33</w:t>
            </w:r>
          </w:p>
        </w:tc>
      </w:tr>
      <w:tr>
        <w:trPr>
          <w:cantSplit/>
        </w:trPr>
        <w:tc>
          <w:tcPr>
            <w:tcW w:type="dxa" w:w="7704"/>
            <w:vAlign w:val="center"/>
          </w:tcPr>
          <w:p>
            <w:pPr>
              <w:spacing w:before="40" w:after="40" w:line="276" w:lineRule="auto"/>
              <w:jc w:val="left"/>
            </w:pPr>
            <w:r>
              <w:rPr>
                <w:rFonts w:ascii="Times New Roman" w:hAnsi="Times New Roman"/>
                <w:b w:val="0"/>
                <w:color w:val="000000"/>
                <w:sz w:val="24"/>
              </w:rPr>
              <w:t>5.1.1 Retrieval evidence coverage</w:t>
            </w:r>
          </w:p>
        </w:tc>
        <w:tc>
          <w:tcPr>
            <w:tcW w:type="dxa" w:w="864"/>
            <w:vAlign w:val="center"/>
          </w:tcPr>
          <w:p>
            <w:pPr>
              <w:spacing w:before="40" w:after="40" w:line="276" w:lineRule="auto"/>
              <w:jc w:val="right"/>
            </w:pPr>
            <w:r>
              <w:rPr>
                <w:rFonts w:ascii="Times New Roman" w:hAnsi="Times New Roman"/>
                <w:b w:val="0"/>
                <w:color w:val="000000"/>
                <w:sz w:val="24"/>
              </w:rPr>
              <w:t>34</w:t>
            </w:r>
          </w:p>
        </w:tc>
      </w:tr>
      <w:tr>
        <w:trPr>
          <w:cantSplit/>
        </w:trPr>
        <w:tc>
          <w:tcPr>
            <w:tcW w:type="dxa" w:w="7704"/>
            <w:vAlign w:val="center"/>
          </w:tcPr>
          <w:p>
            <w:pPr>
              <w:spacing w:before="40" w:after="40" w:line="276" w:lineRule="auto"/>
              <w:jc w:val="left"/>
            </w:pPr>
            <w:r>
              <w:rPr>
                <w:rFonts w:ascii="Times New Roman" w:hAnsi="Times New Roman"/>
                <w:b w:val="0"/>
                <w:color w:val="000000"/>
                <w:sz w:val="24"/>
              </w:rPr>
              <w:t>5.1.2 Historical factual-answer baseline</w:t>
            </w:r>
          </w:p>
        </w:tc>
        <w:tc>
          <w:tcPr>
            <w:tcW w:type="dxa" w:w="864"/>
            <w:vAlign w:val="center"/>
          </w:tcPr>
          <w:p>
            <w:pPr>
              <w:spacing w:before="40" w:after="40" w:line="276" w:lineRule="auto"/>
              <w:jc w:val="right"/>
            </w:pPr>
            <w:r>
              <w:rPr>
                <w:rFonts w:ascii="Times New Roman" w:hAnsi="Times New Roman"/>
                <w:b w:val="0"/>
                <w:color w:val="000000"/>
                <w:sz w:val="24"/>
              </w:rPr>
              <w:t>35</w:t>
            </w:r>
          </w:p>
        </w:tc>
      </w:tr>
      <w:tr>
        <w:trPr>
          <w:cantSplit/>
        </w:trPr>
        <w:tc>
          <w:tcPr>
            <w:tcW w:type="dxa" w:w="7704"/>
            <w:vAlign w:val="center"/>
          </w:tcPr>
          <w:p>
            <w:pPr>
              <w:spacing w:before="40" w:after="40" w:line="276" w:lineRule="auto"/>
              <w:jc w:val="left"/>
            </w:pPr>
            <w:r>
              <w:rPr>
                <w:rFonts w:ascii="Times New Roman" w:hAnsi="Times New Roman"/>
                <w:b w:val="0"/>
                <w:color w:val="000000"/>
                <w:sz w:val="24"/>
              </w:rPr>
              <w:t>5.1.3 Evidence delivery and context audit</w:t>
            </w:r>
          </w:p>
        </w:tc>
        <w:tc>
          <w:tcPr>
            <w:tcW w:type="dxa" w:w="864"/>
            <w:vAlign w:val="center"/>
          </w:tcPr>
          <w:p>
            <w:pPr>
              <w:spacing w:before="40" w:after="40" w:line="276" w:lineRule="auto"/>
              <w:jc w:val="right"/>
            </w:pPr>
            <w:r>
              <w:rPr>
                <w:rFonts w:ascii="Times New Roman" w:hAnsi="Times New Roman"/>
                <w:b w:val="0"/>
                <w:color w:val="000000"/>
                <w:sz w:val="24"/>
              </w:rPr>
              <w:t>36</w:t>
            </w:r>
          </w:p>
        </w:tc>
      </w:tr>
      <w:tr>
        <w:trPr>
          <w:cantSplit/>
        </w:trPr>
        <w:tc>
          <w:tcPr>
            <w:tcW w:type="dxa" w:w="7704"/>
            <w:vAlign w:val="center"/>
          </w:tcPr>
          <w:p>
            <w:pPr>
              <w:spacing w:before="40" w:after="40" w:line="276" w:lineRule="auto"/>
              <w:jc w:val="left"/>
            </w:pPr>
            <w:r>
              <w:rPr>
                <w:rFonts w:ascii="Times New Roman" w:hAnsi="Times New Roman"/>
                <w:b w:val="0"/>
                <w:color w:val="000000"/>
                <w:sz w:val="24"/>
              </w:rPr>
              <w:t>5.1.4 Production context repair and replay</w:t>
            </w:r>
          </w:p>
        </w:tc>
        <w:tc>
          <w:tcPr>
            <w:tcW w:type="dxa" w:w="864"/>
            <w:vAlign w:val="center"/>
          </w:tcPr>
          <w:p>
            <w:pPr>
              <w:spacing w:before="40" w:after="40" w:line="276" w:lineRule="auto"/>
              <w:jc w:val="right"/>
            </w:pPr>
            <w:r>
              <w:rPr>
                <w:rFonts w:ascii="Times New Roman" w:hAnsi="Times New Roman"/>
                <w:b w:val="0"/>
                <w:color w:val="000000"/>
                <w:sz w:val="24"/>
              </w:rPr>
              <w:t>37</w:t>
            </w:r>
          </w:p>
        </w:tc>
      </w:tr>
      <w:tr>
        <w:trPr>
          <w:cantSplit/>
        </w:trPr>
        <w:tc>
          <w:tcPr>
            <w:tcW w:type="dxa" w:w="7704"/>
            <w:vAlign w:val="center"/>
          </w:tcPr>
          <w:p>
            <w:pPr>
              <w:spacing w:before="40" w:after="40" w:line="276" w:lineRule="auto"/>
              <w:jc w:val="left"/>
            </w:pPr>
            <w:r>
              <w:rPr>
                <w:rFonts w:ascii="Times New Roman" w:hAnsi="Times New Roman"/>
                <w:b w:val="0"/>
                <w:color w:val="000000"/>
                <w:sz w:val="24"/>
              </w:rPr>
              <w:t>5.1.5 Long-document summarization</w:t>
            </w:r>
          </w:p>
        </w:tc>
        <w:tc>
          <w:tcPr>
            <w:tcW w:type="dxa" w:w="864"/>
            <w:vAlign w:val="center"/>
          </w:tcPr>
          <w:p>
            <w:pPr>
              <w:spacing w:before="40" w:after="40" w:line="276" w:lineRule="auto"/>
              <w:jc w:val="right"/>
            </w:pPr>
            <w:r>
              <w:rPr>
                <w:rFonts w:ascii="Times New Roman" w:hAnsi="Times New Roman"/>
                <w:b w:val="0"/>
                <w:color w:val="000000"/>
                <w:sz w:val="24"/>
              </w:rPr>
              <w:t>38</w:t>
            </w:r>
          </w:p>
        </w:tc>
      </w:tr>
      <w:tr>
        <w:trPr>
          <w:cantSplit/>
        </w:trPr>
        <w:tc>
          <w:tcPr>
            <w:tcW w:type="dxa" w:w="7704"/>
            <w:vAlign w:val="center"/>
          </w:tcPr>
          <w:p>
            <w:pPr>
              <w:spacing w:before="40" w:after="40" w:line="276" w:lineRule="auto"/>
              <w:jc w:val="left"/>
            </w:pPr>
            <w:r>
              <w:rPr>
                <w:rFonts w:ascii="Times New Roman" w:hAnsi="Times New Roman"/>
                <w:b w:val="0"/>
                <w:color w:val="000000"/>
                <w:sz w:val="24"/>
              </w:rPr>
              <w:t>5.1.6 Functional and runtime observations</w:t>
            </w:r>
          </w:p>
        </w:tc>
        <w:tc>
          <w:tcPr>
            <w:tcW w:type="dxa" w:w="864"/>
            <w:vAlign w:val="center"/>
          </w:tcPr>
          <w:p>
            <w:pPr>
              <w:spacing w:before="40" w:after="40" w:line="276" w:lineRule="auto"/>
              <w:jc w:val="right"/>
            </w:pPr>
            <w:r>
              <w:rPr>
                <w:rFonts w:ascii="Times New Roman" w:hAnsi="Times New Roman"/>
                <w:b w:val="0"/>
                <w:color w:val="000000"/>
                <w:sz w:val="24"/>
              </w:rPr>
              <w:t>39</w:t>
            </w:r>
          </w:p>
        </w:tc>
      </w:tr>
      <w:tr>
        <w:trPr>
          <w:cantSplit/>
        </w:trPr>
        <w:tc>
          <w:tcPr>
            <w:tcW w:type="dxa" w:w="7704"/>
            <w:vAlign w:val="center"/>
          </w:tcPr>
          <w:p>
            <w:pPr>
              <w:spacing w:before="40" w:after="40" w:line="276" w:lineRule="auto"/>
              <w:jc w:val="left"/>
            </w:pPr>
            <w:r>
              <w:rPr>
                <w:rFonts w:ascii="Times New Roman" w:hAnsi="Times New Roman"/>
                <w:b w:val="0"/>
                <w:color w:val="000000"/>
                <w:sz w:val="24"/>
              </w:rPr>
              <w:t>5.1.7 Validity threats and error analysis</w:t>
            </w:r>
          </w:p>
        </w:tc>
        <w:tc>
          <w:tcPr>
            <w:tcW w:type="dxa" w:w="864"/>
            <w:vAlign w:val="center"/>
          </w:tcPr>
          <w:p>
            <w:pPr>
              <w:spacing w:before="40" w:after="40" w:line="276" w:lineRule="auto"/>
              <w:jc w:val="right"/>
            </w:pPr>
            <w:r>
              <w:rPr>
                <w:rFonts w:ascii="Times New Roman" w:hAnsi="Times New Roman"/>
                <w:b w:val="0"/>
                <w:color w:val="000000"/>
                <w:sz w:val="24"/>
              </w:rPr>
              <w:t>40</w:t>
            </w:r>
          </w:p>
        </w:tc>
      </w:tr>
      <w:tr>
        <w:trPr>
          <w:cantSplit/>
        </w:trPr>
        <w:tc>
          <w:tcPr>
            <w:tcW w:type="dxa" w:w="7704"/>
            <w:vAlign w:val="center"/>
          </w:tcPr>
          <w:p>
            <w:pPr>
              <w:spacing w:before="40" w:after="40" w:line="276" w:lineRule="auto"/>
              <w:jc w:val="left"/>
            </w:pPr>
            <w:r>
              <w:rPr>
                <w:rFonts w:ascii="Times New Roman" w:hAnsi="Times New Roman"/>
                <w:b w:val="0"/>
                <w:color w:val="000000"/>
                <w:sz w:val="24"/>
              </w:rPr>
              <w:t>CHAPTER 6: CONCLUSION AND FUTURE SCOPE</w:t>
            </w:r>
          </w:p>
        </w:tc>
        <w:tc>
          <w:tcPr>
            <w:tcW w:type="dxa" w:w="864"/>
            <w:vAlign w:val="center"/>
          </w:tcPr>
          <w:p>
            <w:pPr>
              <w:spacing w:before="40" w:after="40" w:line="276" w:lineRule="auto"/>
              <w:jc w:val="right"/>
            </w:pPr>
            <w:r>
              <w:rPr>
                <w:rFonts w:ascii="Times New Roman" w:hAnsi="Times New Roman"/>
                <w:b w:val="0"/>
                <w:color w:val="000000"/>
                <w:sz w:val="24"/>
              </w:rPr>
              <w:t>41</w:t>
            </w:r>
          </w:p>
        </w:tc>
      </w:tr>
      <w:tr>
        <w:trPr>
          <w:cantSplit/>
        </w:trPr>
        <w:tc>
          <w:tcPr>
            <w:tcW w:type="dxa" w:w="7704"/>
            <w:vAlign w:val="center"/>
          </w:tcPr>
          <w:p>
            <w:pPr>
              <w:spacing w:before="40" w:after="40" w:line="276" w:lineRule="auto"/>
              <w:jc w:val="left"/>
            </w:pPr>
            <w:r>
              <w:rPr>
                <w:rFonts w:ascii="Times New Roman" w:hAnsi="Times New Roman"/>
                <w:b w:val="0"/>
                <w:color w:val="000000"/>
                <w:sz w:val="24"/>
              </w:rPr>
              <w:t>6.1 Conclusion</w:t>
            </w:r>
          </w:p>
        </w:tc>
        <w:tc>
          <w:tcPr>
            <w:tcW w:type="dxa" w:w="864"/>
            <w:vAlign w:val="center"/>
          </w:tcPr>
          <w:p>
            <w:pPr>
              <w:spacing w:before="40" w:after="40" w:line="276" w:lineRule="auto"/>
              <w:jc w:val="right"/>
            </w:pPr>
            <w:r>
              <w:rPr>
                <w:rFonts w:ascii="Times New Roman" w:hAnsi="Times New Roman"/>
                <w:b w:val="0"/>
                <w:color w:val="000000"/>
                <w:sz w:val="24"/>
              </w:rPr>
              <w:t>41</w:t>
            </w:r>
          </w:p>
        </w:tc>
      </w:tr>
      <w:tr>
        <w:trPr>
          <w:cantSplit/>
        </w:trPr>
        <w:tc>
          <w:tcPr>
            <w:tcW w:type="dxa" w:w="7704"/>
            <w:vAlign w:val="center"/>
          </w:tcPr>
          <w:p>
            <w:pPr>
              <w:spacing w:before="40" w:after="40" w:line="276" w:lineRule="auto"/>
              <w:jc w:val="left"/>
            </w:pPr>
            <w:r>
              <w:rPr>
                <w:rFonts w:ascii="Times New Roman" w:hAnsi="Times New Roman"/>
                <w:b w:val="0"/>
                <w:color w:val="000000"/>
                <w:sz w:val="24"/>
              </w:rPr>
              <w:t>6.2 Future scope</w:t>
            </w:r>
          </w:p>
        </w:tc>
        <w:tc>
          <w:tcPr>
            <w:tcW w:type="dxa" w:w="864"/>
            <w:vAlign w:val="center"/>
          </w:tcPr>
          <w:p>
            <w:pPr>
              <w:spacing w:before="40" w:after="40" w:line="276" w:lineRule="auto"/>
              <w:jc w:val="right"/>
            </w:pPr>
            <w:r>
              <w:rPr>
                <w:rFonts w:ascii="Times New Roman" w:hAnsi="Times New Roman"/>
                <w:b w:val="0"/>
                <w:color w:val="000000"/>
                <w:sz w:val="24"/>
              </w:rPr>
              <w:t>42</w:t>
            </w:r>
          </w:p>
        </w:tc>
      </w:tr>
      <w:tr>
        <w:trPr>
          <w:cantSplit/>
        </w:trPr>
        <w:tc>
          <w:tcPr>
            <w:tcW w:type="dxa" w:w="7704"/>
            <w:vAlign w:val="center"/>
          </w:tcPr>
          <w:p>
            <w:pPr>
              <w:spacing w:before="40" w:after="40" w:line="276" w:lineRule="auto"/>
              <w:jc w:val="left"/>
            </w:pPr>
            <w:r>
              <w:rPr>
                <w:rFonts w:ascii="Times New Roman" w:hAnsi="Times New Roman"/>
                <w:b w:val="0"/>
                <w:color w:val="000000"/>
                <w:sz w:val="24"/>
              </w:rPr>
              <w:t>REFERENCES (APA format)</w:t>
            </w:r>
          </w:p>
        </w:tc>
        <w:tc>
          <w:tcPr>
            <w:tcW w:type="dxa" w:w="864"/>
            <w:vAlign w:val="center"/>
          </w:tcPr>
          <w:p>
            <w:pPr>
              <w:spacing w:before="40" w:after="40" w:line="276" w:lineRule="auto"/>
              <w:jc w:val="right"/>
            </w:pPr>
            <w:r>
              <w:rPr>
                <w:rFonts w:ascii="Times New Roman" w:hAnsi="Times New Roman"/>
                <w:b w:val="0"/>
                <w:color w:val="000000"/>
                <w:sz w:val="24"/>
              </w:rPr>
              <w:t>43–46</w:t>
            </w:r>
          </w:p>
        </w:tc>
      </w:tr>
      <w:tr>
        <w:trPr>
          <w:cantSplit/>
        </w:trPr>
        <w:tc>
          <w:tcPr>
            <w:tcW w:type="dxa" w:w="7704"/>
            <w:vAlign w:val="center"/>
          </w:tcPr>
          <w:p>
            <w:pPr>
              <w:spacing w:before="40" w:after="40" w:line="276" w:lineRule="auto"/>
              <w:jc w:val="left"/>
            </w:pPr>
            <w:r>
              <w:rPr>
                <w:rFonts w:ascii="Times New Roman" w:hAnsi="Times New Roman"/>
                <w:b w:val="0"/>
                <w:color w:val="000000"/>
                <w:sz w:val="24"/>
              </w:rPr>
              <w:t>APPENDICES</w:t>
            </w:r>
          </w:p>
        </w:tc>
        <w:tc>
          <w:tcPr>
            <w:tcW w:type="dxa" w:w="864"/>
            <w:vAlign w:val="center"/>
          </w:tcPr>
          <w:p>
            <w:pPr>
              <w:spacing w:before="40" w:after="40" w:line="276" w:lineRule="auto"/>
              <w:jc w:val="right"/>
            </w:pPr>
            <w:r>
              <w:rPr>
                <w:rFonts w:ascii="Times New Roman" w:hAnsi="Times New Roman"/>
                <w:b w:val="0"/>
                <w:color w:val="000000"/>
                <w:sz w:val="24"/>
              </w:rPr>
              <w:t>47</w:t>
            </w:r>
          </w:p>
        </w:tc>
      </w:tr>
      <w:tr>
        <w:trPr>
          <w:cantSplit/>
        </w:trPr>
        <w:tc>
          <w:tcPr>
            <w:tcW w:type="dxa" w:w="7704"/>
            <w:vAlign w:val="center"/>
          </w:tcPr>
          <w:p>
            <w:pPr>
              <w:spacing w:before="40" w:after="40" w:line="276" w:lineRule="auto"/>
              <w:jc w:val="left"/>
            </w:pPr>
            <w:r>
              <w:rPr>
                <w:rFonts w:ascii="Times New Roman" w:hAnsi="Times New Roman"/>
                <w:b w:val="0"/>
                <w:color w:val="000000"/>
                <w:sz w:val="24"/>
              </w:rPr>
              <w:t>A Reproducibility record</w:t>
            </w:r>
          </w:p>
        </w:tc>
        <w:tc>
          <w:tcPr>
            <w:tcW w:type="dxa" w:w="864"/>
            <w:vAlign w:val="center"/>
          </w:tcPr>
          <w:p>
            <w:pPr>
              <w:spacing w:before="40" w:after="40" w:line="276" w:lineRule="auto"/>
              <w:jc w:val="right"/>
            </w:pPr>
            <w:r>
              <w:rPr>
                <w:rFonts w:ascii="Times New Roman" w:hAnsi="Times New Roman"/>
                <w:b w:val="0"/>
                <w:color w:val="000000"/>
                <w:sz w:val="24"/>
              </w:rPr>
              <w:t>47</w:t>
            </w:r>
          </w:p>
        </w:tc>
      </w:tr>
      <w:tr>
        <w:trPr>
          <w:cantSplit/>
        </w:trPr>
        <w:tc>
          <w:tcPr>
            <w:tcW w:type="dxa" w:w="7704"/>
            <w:vAlign w:val="center"/>
          </w:tcPr>
          <w:p>
            <w:pPr>
              <w:spacing w:before="40" w:after="40" w:line="276" w:lineRule="auto"/>
              <w:jc w:val="left"/>
            </w:pPr>
            <w:r>
              <w:rPr>
                <w:rFonts w:ascii="Times New Roman" w:hAnsi="Times New Roman"/>
                <w:b w:val="0"/>
                <w:color w:val="000000"/>
                <w:sz w:val="24"/>
              </w:rPr>
              <w:t>B Demonstration acceptance cases</w:t>
            </w:r>
          </w:p>
        </w:tc>
        <w:tc>
          <w:tcPr>
            <w:tcW w:type="dxa" w:w="864"/>
            <w:vAlign w:val="center"/>
          </w:tcPr>
          <w:p>
            <w:pPr>
              <w:spacing w:before="40" w:after="40" w:line="276" w:lineRule="auto"/>
              <w:jc w:val="right"/>
            </w:pPr>
            <w:r>
              <w:rPr>
                <w:rFonts w:ascii="Times New Roman" w:hAnsi="Times New Roman"/>
                <w:b w:val="0"/>
                <w:color w:val="000000"/>
                <w:sz w:val="24"/>
              </w:rPr>
              <w:t>48</w:t>
            </w:r>
          </w:p>
        </w:tc>
      </w:tr>
      <w:tr>
        <w:trPr>
          <w:cantSplit/>
        </w:trPr>
        <w:tc>
          <w:tcPr>
            <w:tcW w:type="dxa" w:w="7704"/>
            <w:vAlign w:val="center"/>
          </w:tcPr>
          <w:p>
            <w:pPr>
              <w:spacing w:before="40" w:after="40" w:line="276" w:lineRule="auto"/>
              <w:jc w:val="left"/>
            </w:pPr>
            <w:r>
              <w:rPr>
                <w:rFonts w:ascii="Times New Roman" w:hAnsi="Times New Roman"/>
                <w:b w:val="0"/>
                <w:color w:val="000000"/>
                <w:sz w:val="24"/>
              </w:rPr>
              <w:t>C Academic integrity and required reports</w:t>
            </w:r>
          </w:p>
        </w:tc>
        <w:tc>
          <w:tcPr>
            <w:tcW w:type="dxa" w:w="864"/>
            <w:vAlign w:val="center"/>
          </w:tcPr>
          <w:p>
            <w:pPr>
              <w:spacing w:before="40" w:after="40" w:line="276" w:lineRule="auto"/>
              <w:jc w:val="right"/>
            </w:pPr>
            <w:r>
              <w:rPr>
                <w:rFonts w:ascii="Times New Roman" w:hAnsi="Times New Roman"/>
                <w:b w:val="0"/>
                <w:color w:val="000000"/>
                <w:sz w:val="24"/>
              </w:rPr>
              <w:t>49</w:t>
            </w:r>
          </w:p>
        </w:tc>
      </w:tr>
      <w:tr>
        <w:trPr>
          <w:cantSplit/>
        </w:trPr>
        <w:tc>
          <w:tcPr>
            <w:tcW w:type="dxa" w:w="7704"/>
            <w:vAlign w:val="center"/>
          </w:tcPr>
          <w:p>
            <w:pPr>
              <w:spacing w:before="40" w:after="40" w:line="276" w:lineRule="auto"/>
              <w:jc w:val="left"/>
            </w:pPr>
            <w:r>
              <w:rPr>
                <w:rFonts w:ascii="Times New Roman" w:hAnsi="Times New Roman"/>
                <w:b w:val="0"/>
                <w:color w:val="000000"/>
                <w:sz w:val="24"/>
              </w:rPr>
              <w:t>D Submission and evidence checklist</w:t>
            </w:r>
          </w:p>
        </w:tc>
        <w:tc>
          <w:tcPr>
            <w:tcW w:type="dxa" w:w="864"/>
            <w:vAlign w:val="center"/>
          </w:tcPr>
          <w:p>
            <w:pPr>
              <w:spacing w:before="40" w:after="40" w:line="276" w:lineRule="auto"/>
              <w:jc w:val="right"/>
            </w:pPr>
            <w:r>
              <w:rPr>
                <w:rFonts w:ascii="Times New Roman" w:hAnsi="Times New Roman"/>
                <w:b w:val="0"/>
                <w:color w:val="000000"/>
                <w:sz w:val="24"/>
              </w:rPr>
              <w:t>50</w:t>
            </w:r>
          </w:p>
        </w:tc>
      </w:tr>
    </w:tbl>
    <w:p>
      <w:pPr>
        <w:keepNext/>
        <w:keepLines w:val="0"/>
        <w:pageBreakBefore/>
        <w:spacing w:before="0" w:after="280" w:line="276" w:lineRule="auto"/>
        <w:jc w:val="center"/>
      </w:pPr>
      <w:r>
        <w:rPr>
          <w:rFonts w:ascii="Times New Roman" w:hAnsi="Times New Roman"/>
          <w:b/>
          <w:color w:val="000000"/>
          <w:sz w:val="28"/>
        </w:rPr>
        <w:t>LIST OF TABLES</w:t>
      </w:r>
    </w:p>
    <w:tbl>
      <w:tblPr>
        <w:tblW w:type="auto" w:w="0"/>
        <w:jc w:val="center"/>
        <w:tblLayout w:type="fixed"/>
        <w:tblLook w:firstColumn="1" w:firstRow="1" w:lastColumn="0" w:lastRow="0" w:noHBand="0" w:noVBand="1" w:val="04A0"/>
        <w:tblBorders>
          <w:top w:val="nil" w:sz="4" w:color="D9D9D9"/>
          <w:left w:val="nil" w:sz="4" w:color="D9D9D9"/>
          <w:bottom w:val="nil" w:sz="4" w:color="D9D9D9"/>
          <w:right w:val="nil" w:sz="4" w:color="D9D9D9"/>
          <w:insideH w:val="nil" w:sz="4" w:color="D9D9D9"/>
          <w:insideV w:val="nil" w:sz="4" w:color="D9D9D9"/>
        </w:tblBorders>
        <w:tblCellMar>
          <w:top w:w="65" w:type="dxa"/>
          <w:bottom w:w="65" w:type="dxa"/>
          <w:left w:w="85" w:type="dxa"/>
          <w:right w:w="85" w:type="dxa"/>
        </w:tblCellMar>
      </w:tblPr>
      <w:tblGrid>
        <w:gridCol w:w="7704"/>
        <w:gridCol w:w="864"/>
      </w:tblGrid>
      <w:tr>
        <w:trPr>
          <w:cantSplit/>
          <w:tblHeader/>
        </w:trPr>
        <w:tc>
          <w:tcPr>
            <w:tcW w:type="dxa" w:w="7704"/>
            <w:vAlign w:val="center"/>
          </w:tcPr>
          <w:p>
            <w:pPr>
              <w:spacing w:before="40" w:after="40" w:line="276" w:lineRule="auto"/>
              <w:jc w:val="left"/>
            </w:pPr>
            <w:r>
              <w:rPr>
                <w:rFonts w:ascii="Times New Roman" w:hAnsi="Times New Roman"/>
                <w:b/>
                <w:color w:val="000000"/>
                <w:sz w:val="24"/>
              </w:rPr>
              <w:t>Table and title</w:t>
            </w:r>
          </w:p>
        </w:tc>
        <w:tc>
          <w:tcPr>
            <w:tcW w:type="dxa" w:w="864"/>
            <w:vAlign w:val="center"/>
          </w:tcPr>
          <w:p>
            <w:pPr>
              <w:spacing w:before="40" w:after="40" w:line="276" w:lineRule="auto"/>
              <w:jc w:val="right"/>
            </w:pPr>
            <w:r>
              <w:rPr>
                <w:rFonts w:ascii="Times New Roman" w:hAnsi="Times New Roman"/>
                <w:b/>
                <w:color w:val="000000"/>
                <w:sz w:val="24"/>
              </w:rPr>
              <w:t>Page</w:t>
            </w:r>
          </w:p>
        </w:tc>
      </w:tr>
      <w:tr>
        <w:trPr>
          <w:cantSplit/>
        </w:trPr>
        <w:tc>
          <w:tcPr>
            <w:tcW w:type="dxa" w:w="7704"/>
            <w:vAlign w:val="center"/>
          </w:tcPr>
          <w:p>
            <w:pPr>
              <w:spacing w:before="40" w:after="40" w:line="276" w:lineRule="auto"/>
              <w:jc w:val="left"/>
            </w:pPr>
            <w:r>
              <w:rPr>
                <w:rFonts w:ascii="Times New Roman" w:hAnsi="Times New Roman"/>
                <w:b w:val="0"/>
                <w:color w:val="000000"/>
                <w:sz w:val="24"/>
              </w:rPr>
              <w:t>Table 1.1 Objective and verification mapping</w:t>
            </w:r>
          </w:p>
        </w:tc>
        <w:tc>
          <w:tcPr>
            <w:tcW w:type="dxa" w:w="864"/>
            <w:vAlign w:val="center"/>
          </w:tcPr>
          <w:p>
            <w:pPr>
              <w:spacing w:before="40" w:after="40" w:line="276" w:lineRule="auto"/>
              <w:jc w:val="right"/>
            </w:pPr>
            <w:r>
              <w:rPr>
                <w:rFonts w:ascii="Times New Roman" w:hAnsi="Times New Roman"/>
                <w:b w:val="0"/>
                <w:color w:val="000000"/>
                <w:sz w:val="24"/>
              </w:rPr>
              <w:t>4</w:t>
            </w:r>
          </w:p>
        </w:tc>
      </w:tr>
      <w:tr>
        <w:trPr>
          <w:cantSplit/>
        </w:trPr>
        <w:tc>
          <w:tcPr>
            <w:tcW w:type="dxa" w:w="7704"/>
            <w:vAlign w:val="center"/>
          </w:tcPr>
          <w:p>
            <w:pPr>
              <w:spacing w:before="40" w:after="40" w:line="276" w:lineRule="auto"/>
              <w:jc w:val="left"/>
            </w:pPr>
            <w:r>
              <w:rPr>
                <w:rFonts w:ascii="Times New Roman" w:hAnsi="Times New Roman"/>
                <w:b w:val="0"/>
                <w:color w:val="000000"/>
                <w:sz w:val="24"/>
              </w:rPr>
              <w:t>Table 3.1. Principal software components</w:t>
            </w:r>
          </w:p>
        </w:tc>
        <w:tc>
          <w:tcPr>
            <w:tcW w:type="dxa" w:w="864"/>
            <w:vAlign w:val="center"/>
          </w:tcPr>
          <w:p>
            <w:pPr>
              <w:spacing w:before="40" w:after="40" w:line="276" w:lineRule="auto"/>
              <w:jc w:val="right"/>
            </w:pPr>
            <w:r>
              <w:rPr>
                <w:rFonts w:ascii="Times New Roman" w:hAnsi="Times New Roman"/>
                <w:b w:val="0"/>
                <w:color w:val="000000"/>
                <w:sz w:val="24"/>
              </w:rPr>
              <w:t>13</w:t>
            </w:r>
          </w:p>
        </w:tc>
      </w:tr>
      <w:tr>
        <w:trPr>
          <w:cantSplit/>
        </w:trPr>
        <w:tc>
          <w:tcPr>
            <w:tcW w:type="dxa" w:w="7704"/>
            <w:vAlign w:val="center"/>
          </w:tcPr>
          <w:p>
            <w:pPr>
              <w:spacing w:before="40" w:after="40" w:line="276" w:lineRule="auto"/>
              <w:jc w:val="left"/>
            </w:pPr>
            <w:r>
              <w:rPr>
                <w:rFonts w:ascii="Times New Roman" w:hAnsi="Times New Roman"/>
                <w:b w:val="0"/>
                <w:color w:val="000000"/>
                <w:sz w:val="24"/>
              </w:rPr>
              <w:t>Table 3.2. Evaluated laptop configuration</w:t>
            </w:r>
          </w:p>
        </w:tc>
        <w:tc>
          <w:tcPr>
            <w:tcW w:type="dxa" w:w="864"/>
            <w:vAlign w:val="center"/>
          </w:tcPr>
          <w:p>
            <w:pPr>
              <w:spacing w:before="40" w:after="40" w:line="276" w:lineRule="auto"/>
              <w:jc w:val="right"/>
            </w:pPr>
            <w:r>
              <w:rPr>
                <w:rFonts w:ascii="Times New Roman" w:hAnsi="Times New Roman"/>
                <w:b w:val="0"/>
                <w:color w:val="000000"/>
                <w:sz w:val="24"/>
              </w:rPr>
              <w:t>14</w:t>
            </w:r>
          </w:p>
        </w:tc>
      </w:tr>
      <w:tr>
        <w:trPr>
          <w:cantSplit/>
        </w:trPr>
        <w:tc>
          <w:tcPr>
            <w:tcW w:type="dxa" w:w="7704"/>
            <w:vAlign w:val="center"/>
          </w:tcPr>
          <w:p>
            <w:pPr>
              <w:spacing w:before="40" w:after="40" w:line="276" w:lineRule="auto"/>
              <w:jc w:val="left"/>
            </w:pPr>
            <w:r>
              <w:rPr>
                <w:rFonts w:ascii="Times New Roman" w:hAnsi="Times New Roman"/>
                <w:b w:val="0"/>
                <w:color w:val="000000"/>
                <w:sz w:val="24"/>
              </w:rPr>
              <w:t>Table 3.3. Main work packages</w:t>
            </w:r>
          </w:p>
        </w:tc>
        <w:tc>
          <w:tcPr>
            <w:tcW w:type="dxa" w:w="864"/>
            <w:vAlign w:val="center"/>
          </w:tcPr>
          <w:p>
            <w:pPr>
              <w:spacing w:before="40" w:after="40" w:line="276" w:lineRule="auto"/>
              <w:jc w:val="right"/>
            </w:pPr>
            <w:r>
              <w:rPr>
                <w:rFonts w:ascii="Times New Roman" w:hAnsi="Times New Roman"/>
                <w:b w:val="0"/>
                <w:color w:val="000000"/>
                <w:sz w:val="24"/>
              </w:rPr>
              <w:t>15</w:t>
            </w:r>
          </w:p>
        </w:tc>
      </w:tr>
      <w:tr>
        <w:trPr>
          <w:cantSplit/>
        </w:trPr>
        <w:tc>
          <w:tcPr>
            <w:tcW w:type="dxa" w:w="7704"/>
            <w:vAlign w:val="center"/>
          </w:tcPr>
          <w:p>
            <w:pPr>
              <w:spacing w:before="40" w:after="40" w:line="276" w:lineRule="auto"/>
              <w:jc w:val="left"/>
            </w:pPr>
            <w:r>
              <w:rPr>
                <w:rFonts w:ascii="Times New Roman" w:hAnsi="Times New Roman"/>
                <w:b w:val="0"/>
                <w:color w:val="000000"/>
                <w:sz w:val="24"/>
              </w:rPr>
              <w:t>Table 3.4. Cost categories and estimation basis</w:t>
            </w:r>
          </w:p>
        </w:tc>
        <w:tc>
          <w:tcPr>
            <w:tcW w:type="dxa" w:w="864"/>
            <w:vAlign w:val="center"/>
          </w:tcPr>
          <w:p>
            <w:pPr>
              <w:spacing w:before="40" w:after="40" w:line="276" w:lineRule="auto"/>
              <w:jc w:val="right"/>
            </w:pPr>
            <w:r>
              <w:rPr>
                <w:rFonts w:ascii="Times New Roman" w:hAnsi="Times New Roman"/>
                <w:b w:val="0"/>
                <w:color w:val="000000"/>
                <w:sz w:val="24"/>
              </w:rPr>
              <w:t>19</w:t>
            </w:r>
          </w:p>
        </w:tc>
      </w:tr>
      <w:tr>
        <w:trPr>
          <w:cantSplit/>
        </w:trPr>
        <w:tc>
          <w:tcPr>
            <w:tcW w:type="dxa" w:w="7704"/>
            <w:vAlign w:val="center"/>
          </w:tcPr>
          <w:p>
            <w:pPr>
              <w:spacing w:before="40" w:after="40" w:line="276" w:lineRule="auto"/>
              <w:jc w:val="left"/>
            </w:pPr>
            <w:r>
              <w:rPr>
                <w:rFonts w:ascii="Times New Roman" w:hAnsi="Times New Roman"/>
                <w:b w:val="0"/>
                <w:color w:val="000000"/>
                <w:sz w:val="24"/>
              </w:rPr>
              <w:t>Table 5.1 Retrieval on 96 synthetic queries</w:t>
            </w:r>
          </w:p>
        </w:tc>
        <w:tc>
          <w:tcPr>
            <w:tcW w:type="dxa" w:w="864"/>
            <w:vAlign w:val="center"/>
          </w:tcPr>
          <w:p>
            <w:pPr>
              <w:spacing w:before="40" w:after="40" w:line="276" w:lineRule="auto"/>
              <w:jc w:val="right"/>
            </w:pPr>
            <w:r>
              <w:rPr>
                <w:rFonts w:ascii="Times New Roman" w:hAnsi="Times New Roman"/>
                <w:b w:val="0"/>
                <w:color w:val="000000"/>
                <w:sz w:val="24"/>
              </w:rPr>
              <w:t>34</w:t>
            </w:r>
          </w:p>
        </w:tc>
      </w:tr>
      <w:tr>
        <w:trPr>
          <w:cantSplit/>
        </w:trPr>
        <w:tc>
          <w:tcPr>
            <w:tcW w:type="dxa" w:w="7704"/>
            <w:vAlign w:val="center"/>
          </w:tcPr>
          <w:p>
            <w:pPr>
              <w:spacing w:before="40" w:after="40" w:line="276" w:lineRule="auto"/>
              <w:jc w:val="left"/>
            </w:pPr>
            <w:r>
              <w:rPr>
                <w:rFonts w:ascii="Times New Roman" w:hAnsi="Times New Roman"/>
                <w:b w:val="0"/>
                <w:color w:val="000000"/>
                <w:sz w:val="24"/>
              </w:rPr>
              <w:t>Table 5.2 Historical generation outcomes before repair</w:t>
            </w:r>
          </w:p>
        </w:tc>
        <w:tc>
          <w:tcPr>
            <w:tcW w:type="dxa" w:w="864"/>
            <w:vAlign w:val="center"/>
          </w:tcPr>
          <w:p>
            <w:pPr>
              <w:spacing w:before="40" w:after="40" w:line="276" w:lineRule="auto"/>
              <w:jc w:val="right"/>
            </w:pPr>
            <w:r>
              <w:rPr>
                <w:rFonts w:ascii="Times New Roman" w:hAnsi="Times New Roman"/>
                <w:b w:val="0"/>
                <w:color w:val="000000"/>
                <w:sz w:val="24"/>
              </w:rPr>
              <w:t>35</w:t>
            </w:r>
          </w:p>
        </w:tc>
      </w:tr>
      <w:tr>
        <w:trPr>
          <w:cantSplit/>
        </w:trPr>
        <w:tc>
          <w:tcPr>
            <w:tcW w:type="dxa" w:w="7704"/>
            <w:vAlign w:val="center"/>
          </w:tcPr>
          <w:p>
            <w:pPr>
              <w:spacing w:before="40" w:after="40" w:line="276" w:lineRule="auto"/>
              <w:jc w:val="left"/>
            </w:pPr>
            <w:r>
              <w:rPr>
                <w:rFonts w:ascii="Times New Roman" w:hAnsi="Times New Roman"/>
                <w:b w:val="0"/>
                <w:color w:val="000000"/>
                <w:sz w:val="24"/>
              </w:rPr>
              <w:t>Table 5.3 Historical baseline and production repair outcomes</w:t>
            </w:r>
          </w:p>
        </w:tc>
        <w:tc>
          <w:tcPr>
            <w:tcW w:type="dxa" w:w="864"/>
            <w:vAlign w:val="center"/>
          </w:tcPr>
          <w:p>
            <w:pPr>
              <w:spacing w:before="40" w:after="40" w:line="276" w:lineRule="auto"/>
              <w:jc w:val="right"/>
            </w:pPr>
            <w:r>
              <w:rPr>
                <w:rFonts w:ascii="Times New Roman" w:hAnsi="Times New Roman"/>
                <w:b w:val="0"/>
                <w:color w:val="000000"/>
                <w:sz w:val="24"/>
              </w:rPr>
              <w:t>37</w:t>
            </w:r>
          </w:p>
        </w:tc>
      </w:tr>
      <w:tr>
        <w:trPr>
          <w:cantSplit/>
        </w:trPr>
        <w:tc>
          <w:tcPr>
            <w:tcW w:type="dxa" w:w="7704"/>
            <w:vAlign w:val="center"/>
          </w:tcPr>
          <w:p>
            <w:pPr>
              <w:spacing w:before="40" w:after="40" w:line="276" w:lineRule="auto"/>
              <w:jc w:val="left"/>
            </w:pPr>
            <w:r>
              <w:rPr>
                <w:rFonts w:ascii="Times New Roman" w:hAnsi="Times New Roman"/>
                <w:b w:val="0"/>
                <w:color w:val="000000"/>
                <w:sz w:val="24"/>
              </w:rPr>
              <w:t>Table 5.4 Requested facts retained in final summaries</w:t>
            </w:r>
          </w:p>
        </w:tc>
        <w:tc>
          <w:tcPr>
            <w:tcW w:type="dxa" w:w="864"/>
            <w:vAlign w:val="center"/>
          </w:tcPr>
          <w:p>
            <w:pPr>
              <w:spacing w:before="40" w:after="40" w:line="276" w:lineRule="auto"/>
              <w:jc w:val="right"/>
            </w:pPr>
            <w:r>
              <w:rPr>
                <w:rFonts w:ascii="Times New Roman" w:hAnsi="Times New Roman"/>
                <w:b w:val="0"/>
                <w:color w:val="000000"/>
                <w:sz w:val="24"/>
              </w:rPr>
              <w:t>38</w:t>
            </w:r>
          </w:p>
        </w:tc>
      </w:tr>
      <w:tr>
        <w:trPr>
          <w:cantSplit/>
        </w:trPr>
        <w:tc>
          <w:tcPr>
            <w:tcW w:type="dxa" w:w="7704"/>
            <w:vAlign w:val="center"/>
          </w:tcPr>
          <w:p>
            <w:pPr>
              <w:spacing w:before="40" w:after="40" w:line="276" w:lineRule="auto"/>
              <w:jc w:val="left"/>
            </w:pPr>
            <w:r>
              <w:rPr>
                <w:rFonts w:ascii="Times New Roman" w:hAnsi="Times New Roman"/>
                <w:b w:val="0"/>
                <w:color w:val="000000"/>
                <w:sz w:val="24"/>
              </w:rPr>
              <w:t>Table 5.5 Historical resource and runtime context</w:t>
            </w:r>
          </w:p>
        </w:tc>
        <w:tc>
          <w:tcPr>
            <w:tcW w:type="dxa" w:w="864"/>
            <w:vAlign w:val="center"/>
          </w:tcPr>
          <w:p>
            <w:pPr>
              <w:spacing w:before="40" w:after="40" w:line="276" w:lineRule="auto"/>
              <w:jc w:val="right"/>
            </w:pPr>
            <w:r>
              <w:rPr>
                <w:rFonts w:ascii="Times New Roman" w:hAnsi="Times New Roman"/>
                <w:b w:val="0"/>
                <w:color w:val="000000"/>
                <w:sz w:val="24"/>
              </w:rPr>
              <w:t>39</w:t>
            </w:r>
          </w:p>
        </w:tc>
      </w:tr>
      <w:tr>
        <w:trPr>
          <w:cantSplit/>
        </w:trPr>
        <w:tc>
          <w:tcPr>
            <w:tcW w:type="dxa" w:w="7704"/>
            <w:vAlign w:val="center"/>
          </w:tcPr>
          <w:p>
            <w:pPr>
              <w:spacing w:before="40" w:after="40" w:line="276" w:lineRule="auto"/>
              <w:jc w:val="left"/>
            </w:pPr>
            <w:r>
              <w:rPr>
                <w:rFonts w:ascii="Times New Roman" w:hAnsi="Times New Roman"/>
                <w:b w:val="0"/>
                <w:color w:val="000000"/>
                <w:sz w:val="24"/>
              </w:rPr>
              <w:t>Table A.1 Reproduction settings</w:t>
            </w:r>
          </w:p>
        </w:tc>
        <w:tc>
          <w:tcPr>
            <w:tcW w:type="dxa" w:w="864"/>
            <w:vAlign w:val="center"/>
          </w:tcPr>
          <w:p>
            <w:pPr>
              <w:spacing w:before="40" w:after="40" w:line="276" w:lineRule="auto"/>
              <w:jc w:val="right"/>
            </w:pPr>
            <w:r>
              <w:rPr>
                <w:rFonts w:ascii="Times New Roman" w:hAnsi="Times New Roman"/>
                <w:b w:val="0"/>
                <w:color w:val="000000"/>
                <w:sz w:val="24"/>
              </w:rPr>
              <w:t>47</w:t>
            </w:r>
          </w:p>
        </w:tc>
      </w:tr>
      <w:tr>
        <w:trPr>
          <w:cantSplit/>
        </w:trPr>
        <w:tc>
          <w:tcPr>
            <w:tcW w:type="dxa" w:w="7704"/>
            <w:vAlign w:val="center"/>
          </w:tcPr>
          <w:p>
            <w:pPr>
              <w:spacing w:before="40" w:after="40" w:line="276" w:lineRule="auto"/>
              <w:jc w:val="left"/>
            </w:pPr>
            <w:r>
              <w:rPr>
                <w:rFonts w:ascii="Times New Roman" w:hAnsi="Times New Roman"/>
                <w:b w:val="0"/>
                <w:color w:val="000000"/>
                <w:sz w:val="24"/>
              </w:rPr>
              <w:t>Table B.1 Demonstration checks and recovery</w:t>
            </w:r>
          </w:p>
        </w:tc>
        <w:tc>
          <w:tcPr>
            <w:tcW w:type="dxa" w:w="864"/>
            <w:vAlign w:val="center"/>
          </w:tcPr>
          <w:p>
            <w:pPr>
              <w:spacing w:before="40" w:after="40" w:line="276" w:lineRule="auto"/>
              <w:jc w:val="right"/>
            </w:pPr>
            <w:r>
              <w:rPr>
                <w:rFonts w:ascii="Times New Roman" w:hAnsi="Times New Roman"/>
                <w:b w:val="0"/>
                <w:color w:val="000000"/>
                <w:sz w:val="24"/>
              </w:rPr>
              <w:t>48</w:t>
            </w:r>
          </w:p>
        </w:tc>
      </w:tr>
      <w:tr>
        <w:trPr>
          <w:cantSplit/>
        </w:trPr>
        <w:tc>
          <w:tcPr>
            <w:tcW w:type="dxa" w:w="7704"/>
            <w:vAlign w:val="center"/>
          </w:tcPr>
          <w:p>
            <w:pPr>
              <w:spacing w:before="40" w:after="40" w:line="276" w:lineRule="auto"/>
              <w:jc w:val="left"/>
            </w:pPr>
            <w:r>
              <w:rPr>
                <w:rFonts w:ascii="Times New Roman" w:hAnsi="Times New Roman"/>
                <w:b w:val="0"/>
                <w:color w:val="000000"/>
                <w:sz w:val="24"/>
              </w:rPr>
              <w:t>Table C.1 Mandatory attachment register</w:t>
            </w:r>
          </w:p>
        </w:tc>
        <w:tc>
          <w:tcPr>
            <w:tcW w:type="dxa" w:w="864"/>
            <w:vAlign w:val="center"/>
          </w:tcPr>
          <w:p>
            <w:pPr>
              <w:spacing w:before="40" w:after="40" w:line="276" w:lineRule="auto"/>
              <w:jc w:val="right"/>
            </w:pPr>
            <w:r>
              <w:rPr>
                <w:rFonts w:ascii="Times New Roman" w:hAnsi="Times New Roman"/>
                <w:b w:val="0"/>
                <w:color w:val="000000"/>
                <w:sz w:val="24"/>
              </w:rPr>
              <w:t>49</w:t>
            </w:r>
          </w:p>
        </w:tc>
      </w:tr>
      <w:tr>
        <w:trPr>
          <w:cantSplit/>
        </w:trPr>
        <w:tc>
          <w:tcPr>
            <w:tcW w:type="dxa" w:w="7704"/>
            <w:vAlign w:val="center"/>
          </w:tcPr>
          <w:p>
            <w:pPr>
              <w:spacing w:before="40" w:after="40" w:line="276" w:lineRule="auto"/>
              <w:jc w:val="left"/>
            </w:pPr>
            <w:r>
              <w:rPr>
                <w:rFonts w:ascii="Times New Roman" w:hAnsi="Times New Roman"/>
                <w:b w:val="0"/>
                <w:color w:val="000000"/>
                <w:sz w:val="24"/>
              </w:rPr>
              <w:t>Table D.1 Project evidence and preservation</w:t>
            </w:r>
          </w:p>
        </w:tc>
        <w:tc>
          <w:tcPr>
            <w:tcW w:type="dxa" w:w="864"/>
            <w:vAlign w:val="center"/>
          </w:tcPr>
          <w:p>
            <w:pPr>
              <w:spacing w:before="40" w:after="40" w:line="276" w:lineRule="auto"/>
              <w:jc w:val="right"/>
            </w:pPr>
            <w:r>
              <w:rPr>
                <w:rFonts w:ascii="Times New Roman" w:hAnsi="Times New Roman"/>
                <w:b w:val="0"/>
                <w:color w:val="000000"/>
                <w:sz w:val="24"/>
              </w:rPr>
              <w:t>50</w:t>
            </w:r>
          </w:p>
        </w:tc>
      </w:tr>
    </w:tbl>
    <w:p>
      <w:pPr>
        <w:keepNext/>
        <w:keepLines w:val="0"/>
        <w:pageBreakBefore/>
        <w:spacing w:before="0" w:after="280" w:line="276" w:lineRule="auto"/>
        <w:jc w:val="center"/>
      </w:pPr>
      <w:r>
        <w:rPr>
          <w:rFonts w:ascii="Times New Roman" w:hAnsi="Times New Roman"/>
          <w:b/>
          <w:color w:val="000000"/>
          <w:sz w:val="28"/>
        </w:rPr>
        <w:t>LIST OF FIGURES</w:t>
      </w:r>
    </w:p>
    <w:tbl>
      <w:tblPr>
        <w:tblW w:type="auto" w:w="0"/>
        <w:jc w:val="center"/>
        <w:tblLayout w:type="fixed"/>
        <w:tblLook w:firstColumn="1" w:firstRow="1" w:lastColumn="0" w:lastRow="0" w:noHBand="0" w:noVBand="1" w:val="04A0"/>
        <w:tblBorders>
          <w:top w:val="nil" w:sz="4" w:color="D9D9D9"/>
          <w:left w:val="nil" w:sz="4" w:color="D9D9D9"/>
          <w:bottom w:val="nil" w:sz="4" w:color="D9D9D9"/>
          <w:right w:val="nil" w:sz="4" w:color="D9D9D9"/>
          <w:insideH w:val="nil" w:sz="4" w:color="D9D9D9"/>
          <w:insideV w:val="nil" w:sz="4" w:color="D9D9D9"/>
        </w:tblBorders>
        <w:tblCellMar>
          <w:top w:w="65" w:type="dxa"/>
          <w:bottom w:w="65" w:type="dxa"/>
          <w:left w:w="85" w:type="dxa"/>
          <w:right w:w="85" w:type="dxa"/>
        </w:tblCellMar>
      </w:tblPr>
      <w:tblGrid>
        <w:gridCol w:w="7704"/>
        <w:gridCol w:w="864"/>
      </w:tblGrid>
      <w:tr>
        <w:trPr>
          <w:cantSplit/>
          <w:tblHeader/>
        </w:trPr>
        <w:tc>
          <w:tcPr>
            <w:tcW w:type="dxa" w:w="7704"/>
            <w:vAlign w:val="center"/>
          </w:tcPr>
          <w:p>
            <w:pPr>
              <w:spacing w:before="40" w:after="40" w:line="276" w:lineRule="auto"/>
              <w:jc w:val="left"/>
            </w:pPr>
            <w:r>
              <w:rPr>
                <w:rFonts w:ascii="Times New Roman" w:hAnsi="Times New Roman"/>
                <w:b/>
                <w:color w:val="000000"/>
                <w:sz w:val="24"/>
              </w:rPr>
              <w:t>Figure and title</w:t>
            </w:r>
          </w:p>
        </w:tc>
        <w:tc>
          <w:tcPr>
            <w:tcW w:type="dxa" w:w="864"/>
            <w:vAlign w:val="center"/>
          </w:tcPr>
          <w:p>
            <w:pPr>
              <w:spacing w:before="40" w:after="40" w:line="276" w:lineRule="auto"/>
              <w:jc w:val="right"/>
            </w:pPr>
            <w:r>
              <w:rPr>
                <w:rFonts w:ascii="Times New Roman" w:hAnsi="Times New Roman"/>
                <w:b/>
                <w:color w:val="000000"/>
                <w:sz w:val="24"/>
              </w:rPr>
              <w:t>Page</w:t>
            </w:r>
          </w:p>
        </w:tc>
      </w:tr>
      <w:tr>
        <w:trPr>
          <w:cantSplit/>
        </w:trPr>
        <w:tc>
          <w:tcPr>
            <w:tcW w:type="dxa" w:w="7704"/>
            <w:vAlign w:val="center"/>
          </w:tcPr>
          <w:p>
            <w:pPr>
              <w:spacing w:before="40" w:after="40" w:line="276" w:lineRule="auto"/>
              <w:jc w:val="left"/>
            </w:pPr>
            <w:r>
              <w:rPr>
                <w:rFonts w:ascii="Times New Roman" w:hAnsi="Times New Roman"/>
                <w:b w:val="0"/>
                <w:color w:val="000000"/>
                <w:sz w:val="24"/>
              </w:rPr>
              <w:t>Figure 4.1 Local processing and MCP architecture</w:t>
            </w:r>
          </w:p>
        </w:tc>
        <w:tc>
          <w:tcPr>
            <w:tcW w:type="dxa" w:w="864"/>
            <w:vAlign w:val="center"/>
          </w:tcPr>
          <w:p>
            <w:pPr>
              <w:spacing w:before="40" w:after="40" w:line="276" w:lineRule="auto"/>
              <w:jc w:val="right"/>
            </w:pPr>
            <w:r>
              <w:rPr>
                <w:rFonts w:ascii="Times New Roman" w:hAnsi="Times New Roman"/>
                <w:b w:val="0"/>
                <w:color w:val="000000"/>
                <w:sz w:val="24"/>
              </w:rPr>
              <w:t>20</w:t>
            </w:r>
          </w:p>
        </w:tc>
      </w:tr>
      <w:tr>
        <w:trPr>
          <w:cantSplit/>
        </w:trPr>
        <w:tc>
          <w:tcPr>
            <w:tcW w:type="dxa" w:w="7704"/>
            <w:vAlign w:val="center"/>
          </w:tcPr>
          <w:p>
            <w:pPr>
              <w:spacing w:before="40" w:after="40" w:line="276" w:lineRule="auto"/>
              <w:jc w:val="left"/>
            </w:pPr>
            <w:r>
              <w:rPr>
                <w:rFonts w:ascii="Times New Roman" w:hAnsi="Times New Roman"/>
                <w:b w:val="0"/>
                <w:color w:val="000000"/>
                <w:sz w:val="24"/>
              </w:rPr>
              <w:t>Figure 4.2 Library view in the isolated local rehearsal</w:t>
            </w:r>
          </w:p>
        </w:tc>
        <w:tc>
          <w:tcPr>
            <w:tcW w:type="dxa" w:w="864"/>
            <w:vAlign w:val="center"/>
          </w:tcPr>
          <w:p>
            <w:pPr>
              <w:spacing w:before="40" w:after="40" w:line="276" w:lineRule="auto"/>
              <w:jc w:val="right"/>
            </w:pPr>
            <w:r>
              <w:rPr>
                <w:rFonts w:ascii="Times New Roman" w:hAnsi="Times New Roman"/>
                <w:b w:val="0"/>
                <w:color w:val="000000"/>
                <w:sz w:val="24"/>
              </w:rPr>
              <w:t>21</w:t>
            </w:r>
          </w:p>
        </w:tc>
      </w:tr>
      <w:tr>
        <w:trPr>
          <w:cantSplit/>
        </w:trPr>
        <w:tc>
          <w:tcPr>
            <w:tcW w:type="dxa" w:w="7704"/>
            <w:vAlign w:val="center"/>
          </w:tcPr>
          <w:p>
            <w:pPr>
              <w:spacing w:before="40" w:after="40" w:line="276" w:lineRule="auto"/>
              <w:jc w:val="left"/>
            </w:pPr>
            <w:r>
              <w:rPr>
                <w:rFonts w:ascii="Times New Roman" w:hAnsi="Times New Roman"/>
                <w:b w:val="0"/>
                <w:color w:val="000000"/>
                <w:sz w:val="24"/>
              </w:rPr>
              <w:t>Figure 4.3 Persistent source, memory and conversation entities</w:t>
            </w:r>
          </w:p>
        </w:tc>
        <w:tc>
          <w:tcPr>
            <w:tcW w:type="dxa" w:w="864"/>
            <w:vAlign w:val="center"/>
          </w:tcPr>
          <w:p>
            <w:pPr>
              <w:spacing w:before="40" w:after="40" w:line="276" w:lineRule="auto"/>
              <w:jc w:val="right"/>
            </w:pPr>
            <w:r>
              <w:rPr>
                <w:rFonts w:ascii="Times New Roman" w:hAnsi="Times New Roman"/>
                <w:b w:val="0"/>
                <w:color w:val="000000"/>
                <w:sz w:val="24"/>
              </w:rPr>
              <w:t>22</w:t>
            </w:r>
          </w:p>
        </w:tc>
      </w:tr>
      <w:tr>
        <w:trPr>
          <w:cantSplit/>
        </w:trPr>
        <w:tc>
          <w:tcPr>
            <w:tcW w:type="dxa" w:w="7704"/>
            <w:vAlign w:val="center"/>
          </w:tcPr>
          <w:p>
            <w:pPr>
              <w:spacing w:before="40" w:after="40" w:line="276" w:lineRule="auto"/>
              <w:jc w:val="left"/>
            </w:pPr>
            <w:r>
              <w:rPr>
                <w:rFonts w:ascii="Times New Roman" w:hAnsi="Times New Roman"/>
                <w:b w:val="0"/>
                <w:color w:val="000000"/>
                <w:sz w:val="24"/>
              </w:rPr>
              <w:t>Figure 5.1 Historical evidence loss and earlier research diagnostic</w:t>
            </w:r>
          </w:p>
        </w:tc>
        <w:tc>
          <w:tcPr>
            <w:tcW w:type="dxa" w:w="864"/>
            <w:vAlign w:val="center"/>
          </w:tcPr>
          <w:p>
            <w:pPr>
              <w:spacing w:before="40" w:after="40" w:line="276" w:lineRule="auto"/>
              <w:jc w:val="right"/>
            </w:pPr>
            <w:r>
              <w:rPr>
                <w:rFonts w:ascii="Times New Roman" w:hAnsi="Times New Roman"/>
                <w:b w:val="0"/>
                <w:color w:val="000000"/>
                <w:sz w:val="24"/>
              </w:rPr>
              <w:t>36</w:t>
            </w:r>
          </w:p>
        </w:tc>
      </w:tr>
    </w:tbl>
    <w:p>
      <w:pPr>
        <w:keepNext/>
        <w:keepLines w:val="0"/>
        <w:pageBreakBefore/>
        <w:spacing w:before="0" w:after="280" w:line="276" w:lineRule="auto"/>
        <w:jc w:val="center"/>
      </w:pPr>
      <w:r>
        <w:rPr>
          <w:rFonts w:ascii="Times New Roman" w:hAnsi="Times New Roman"/>
          <w:b/>
          <w:color w:val="000000"/>
          <w:sz w:val="28"/>
        </w:rPr>
        <w:t>LIST OF ABBREVIATIONS</w:t>
      </w:r>
    </w:p>
    <w:tbl>
      <w:tblPr>
        <w:tblW w:type="auto" w:w="0"/>
        <w:jc w:val="center"/>
        <w:tblLayout w:type="fixed"/>
        <w:tblLook w:firstColumn="1" w:firstRow="1" w:lastColumn="0" w:lastRow="0" w:noHBand="0" w:noVBand="1" w:val="04A0"/>
        <w:tblBorders>
          <w:top w:val="nil" w:sz="4" w:color="D9D9D9"/>
          <w:left w:val="nil" w:sz="4" w:color="D9D9D9"/>
          <w:bottom w:val="nil" w:sz="4" w:color="D9D9D9"/>
          <w:right w:val="nil" w:sz="4" w:color="D9D9D9"/>
          <w:insideH w:val="nil" w:sz="4" w:color="D9D9D9"/>
          <w:insideV w:val="nil" w:sz="4" w:color="D9D9D9"/>
        </w:tblBorders>
        <w:tblCellMar>
          <w:top w:w="65" w:type="dxa"/>
          <w:bottom w:w="65" w:type="dxa"/>
          <w:left w:w="85" w:type="dxa"/>
          <w:right w:w="85" w:type="dxa"/>
        </w:tblCellMar>
      </w:tblPr>
      <w:tblGrid>
        <w:gridCol w:w="1584"/>
        <w:gridCol w:w="6984"/>
      </w:tblGrid>
      <w:tr>
        <w:trPr>
          <w:cantSplit/>
          <w:tblHeader/>
        </w:trPr>
        <w:tc>
          <w:tcPr>
            <w:tcW w:type="dxa" w:w="1584"/>
            <w:vAlign w:val="center"/>
          </w:tcPr>
          <w:p>
            <w:pPr>
              <w:spacing w:before="40" w:after="40" w:line="276" w:lineRule="auto"/>
              <w:jc w:val="left"/>
            </w:pPr>
            <w:r>
              <w:rPr>
                <w:rFonts w:ascii="Times New Roman" w:hAnsi="Times New Roman"/>
                <w:b/>
                <w:color w:val="000000"/>
                <w:sz w:val="24"/>
              </w:rPr>
              <w:t>Term</w:t>
            </w:r>
          </w:p>
        </w:tc>
        <w:tc>
          <w:tcPr>
            <w:tcW w:type="dxa" w:w="6984"/>
            <w:vAlign w:val="center"/>
          </w:tcPr>
          <w:p>
            <w:pPr>
              <w:spacing w:before="40" w:after="40" w:line="276" w:lineRule="auto"/>
              <w:jc w:val="right"/>
            </w:pPr>
            <w:r>
              <w:rPr>
                <w:rFonts w:ascii="Times New Roman" w:hAnsi="Times New Roman"/>
                <w:b/>
                <w:color w:val="000000"/>
                <w:sz w:val="24"/>
              </w:rPr>
              <w:t>Meaning</w:t>
            </w:r>
          </w:p>
        </w:tc>
      </w:tr>
      <w:tr>
        <w:trPr>
          <w:cantSplit/>
        </w:trPr>
        <w:tc>
          <w:tcPr>
            <w:tcW w:type="dxa" w:w="1584"/>
            <w:vAlign w:val="center"/>
          </w:tcPr>
          <w:p>
            <w:pPr>
              <w:spacing w:before="40" w:after="40" w:line="276" w:lineRule="auto"/>
              <w:jc w:val="left"/>
            </w:pPr>
            <w:r>
              <w:rPr>
                <w:rFonts w:ascii="Times New Roman" w:hAnsi="Times New Roman"/>
                <w:b w:val="0"/>
                <w:color w:val="000000"/>
                <w:sz w:val="24"/>
              </w:rPr>
              <w:t>AFVM</w:t>
            </w:r>
          </w:p>
        </w:tc>
        <w:tc>
          <w:tcPr>
            <w:tcW w:type="dxa" w:w="6984"/>
            <w:vAlign w:val="center"/>
          </w:tcPr>
          <w:p>
            <w:pPr>
              <w:spacing w:before="40" w:after="40" w:line="276" w:lineRule="auto"/>
              <w:jc w:val="right"/>
            </w:pPr>
            <w:r>
              <w:rPr>
                <w:rFonts w:ascii="Times New Roman" w:hAnsi="Times New Roman"/>
                <w:b w:val="0"/>
                <w:color w:val="000000"/>
                <w:sz w:val="24"/>
              </w:rPr>
              <w:t>All-fact value match</w:t>
            </w:r>
          </w:p>
        </w:tc>
      </w:tr>
      <w:tr>
        <w:trPr>
          <w:cantSplit/>
        </w:trPr>
        <w:tc>
          <w:tcPr>
            <w:tcW w:type="dxa" w:w="1584"/>
            <w:vAlign w:val="center"/>
          </w:tcPr>
          <w:p>
            <w:pPr>
              <w:spacing w:before="40" w:after="40" w:line="276" w:lineRule="auto"/>
              <w:jc w:val="left"/>
            </w:pPr>
            <w:r>
              <w:rPr>
                <w:rFonts w:ascii="Times New Roman" w:hAnsi="Times New Roman"/>
                <w:b w:val="0"/>
                <w:color w:val="000000"/>
                <w:sz w:val="24"/>
              </w:rPr>
              <w:t>API</w:t>
            </w:r>
          </w:p>
        </w:tc>
        <w:tc>
          <w:tcPr>
            <w:tcW w:type="dxa" w:w="6984"/>
            <w:vAlign w:val="center"/>
          </w:tcPr>
          <w:p>
            <w:pPr>
              <w:spacing w:before="40" w:after="40" w:line="276" w:lineRule="auto"/>
              <w:jc w:val="right"/>
            </w:pPr>
            <w:r>
              <w:rPr>
                <w:rFonts w:ascii="Times New Roman" w:hAnsi="Times New Roman"/>
                <w:b w:val="0"/>
                <w:color w:val="000000"/>
                <w:sz w:val="24"/>
              </w:rPr>
              <w:t>Application programming interface</w:t>
            </w:r>
          </w:p>
        </w:tc>
      </w:tr>
      <w:tr>
        <w:trPr>
          <w:cantSplit/>
        </w:trPr>
        <w:tc>
          <w:tcPr>
            <w:tcW w:type="dxa" w:w="1584"/>
            <w:vAlign w:val="center"/>
          </w:tcPr>
          <w:p>
            <w:pPr>
              <w:spacing w:before="40" w:after="40" w:line="276" w:lineRule="auto"/>
              <w:jc w:val="left"/>
            </w:pPr>
            <w:r>
              <w:rPr>
                <w:rFonts w:ascii="Times New Roman" w:hAnsi="Times New Roman"/>
                <w:b w:val="0"/>
                <w:color w:val="000000"/>
                <w:sz w:val="24"/>
              </w:rPr>
              <w:t>BM25</w:t>
            </w:r>
          </w:p>
        </w:tc>
        <w:tc>
          <w:tcPr>
            <w:tcW w:type="dxa" w:w="6984"/>
            <w:vAlign w:val="center"/>
          </w:tcPr>
          <w:p>
            <w:pPr>
              <w:spacing w:before="40" w:after="40" w:line="276" w:lineRule="auto"/>
              <w:jc w:val="right"/>
            </w:pPr>
            <w:r>
              <w:rPr>
                <w:rFonts w:ascii="Times New Roman" w:hAnsi="Times New Roman"/>
                <w:b w:val="0"/>
                <w:color w:val="000000"/>
                <w:sz w:val="24"/>
              </w:rPr>
              <w:t>Best Matching 25 ranking family</w:t>
            </w:r>
          </w:p>
        </w:tc>
      </w:tr>
      <w:tr>
        <w:trPr>
          <w:cantSplit/>
        </w:trPr>
        <w:tc>
          <w:tcPr>
            <w:tcW w:type="dxa" w:w="1584"/>
            <w:vAlign w:val="center"/>
          </w:tcPr>
          <w:p>
            <w:pPr>
              <w:spacing w:before="40" w:after="40" w:line="276" w:lineRule="auto"/>
              <w:jc w:val="left"/>
            </w:pPr>
            <w:r>
              <w:rPr>
                <w:rFonts w:ascii="Times New Roman" w:hAnsi="Times New Roman"/>
                <w:b w:val="0"/>
                <w:color w:val="000000"/>
                <w:sz w:val="24"/>
              </w:rPr>
              <w:t>CES@k</w:t>
            </w:r>
          </w:p>
        </w:tc>
        <w:tc>
          <w:tcPr>
            <w:tcW w:type="dxa" w:w="6984"/>
            <w:vAlign w:val="center"/>
          </w:tcPr>
          <w:p>
            <w:pPr>
              <w:spacing w:before="40" w:after="40" w:line="276" w:lineRule="auto"/>
              <w:jc w:val="right"/>
            </w:pPr>
            <w:r>
              <w:rPr>
                <w:rFonts w:ascii="Times New Roman" w:hAnsi="Times New Roman"/>
                <w:b w:val="0"/>
                <w:color w:val="000000"/>
                <w:sz w:val="24"/>
              </w:rPr>
              <w:t>Complete evidence success among top k results</w:t>
            </w:r>
          </w:p>
        </w:tc>
      </w:tr>
      <w:tr>
        <w:trPr>
          <w:cantSplit/>
        </w:trPr>
        <w:tc>
          <w:tcPr>
            <w:tcW w:type="dxa" w:w="1584"/>
            <w:vAlign w:val="center"/>
          </w:tcPr>
          <w:p>
            <w:pPr>
              <w:spacing w:before="40" w:after="40" w:line="276" w:lineRule="auto"/>
              <w:jc w:val="left"/>
            </w:pPr>
            <w:r>
              <w:rPr>
                <w:rFonts w:ascii="Times New Roman" w:hAnsi="Times New Roman"/>
                <w:b w:val="0"/>
                <w:color w:val="000000"/>
                <w:sz w:val="24"/>
              </w:rPr>
              <w:t>CI</w:t>
            </w:r>
          </w:p>
        </w:tc>
        <w:tc>
          <w:tcPr>
            <w:tcW w:type="dxa" w:w="6984"/>
            <w:vAlign w:val="center"/>
          </w:tcPr>
          <w:p>
            <w:pPr>
              <w:spacing w:before="40" w:after="40" w:line="276" w:lineRule="auto"/>
              <w:jc w:val="right"/>
            </w:pPr>
            <w:r>
              <w:rPr>
                <w:rFonts w:ascii="Times New Roman" w:hAnsi="Times New Roman"/>
                <w:b w:val="0"/>
                <w:color w:val="000000"/>
                <w:sz w:val="24"/>
              </w:rPr>
              <w:t>Continuous integration / confidence interval (context dependent)</w:t>
            </w:r>
          </w:p>
        </w:tc>
      </w:tr>
      <w:tr>
        <w:trPr>
          <w:cantSplit/>
        </w:trPr>
        <w:tc>
          <w:tcPr>
            <w:tcW w:type="dxa" w:w="1584"/>
            <w:vAlign w:val="center"/>
          </w:tcPr>
          <w:p>
            <w:pPr>
              <w:spacing w:before="40" w:after="40" w:line="276" w:lineRule="auto"/>
              <w:jc w:val="left"/>
            </w:pPr>
            <w:r>
              <w:rPr>
                <w:rFonts w:ascii="Times New Roman" w:hAnsi="Times New Roman"/>
                <w:b w:val="0"/>
                <w:color w:val="000000"/>
                <w:sz w:val="24"/>
              </w:rPr>
              <w:t>FTS5</w:t>
            </w:r>
          </w:p>
        </w:tc>
        <w:tc>
          <w:tcPr>
            <w:tcW w:type="dxa" w:w="6984"/>
            <w:vAlign w:val="center"/>
          </w:tcPr>
          <w:p>
            <w:pPr>
              <w:spacing w:before="40" w:after="40" w:line="276" w:lineRule="auto"/>
              <w:jc w:val="right"/>
            </w:pPr>
            <w:r>
              <w:rPr>
                <w:rFonts w:ascii="Times New Roman" w:hAnsi="Times New Roman"/>
                <w:b w:val="0"/>
                <w:color w:val="000000"/>
                <w:sz w:val="24"/>
              </w:rPr>
              <w:t>SQLite full-text search extension</w:t>
            </w:r>
          </w:p>
        </w:tc>
      </w:tr>
      <w:tr>
        <w:trPr>
          <w:cantSplit/>
        </w:trPr>
        <w:tc>
          <w:tcPr>
            <w:tcW w:type="dxa" w:w="1584"/>
            <w:vAlign w:val="center"/>
          </w:tcPr>
          <w:p>
            <w:pPr>
              <w:spacing w:before="40" w:after="40" w:line="276" w:lineRule="auto"/>
              <w:jc w:val="left"/>
            </w:pPr>
            <w:r>
              <w:rPr>
                <w:rFonts w:ascii="Times New Roman" w:hAnsi="Times New Roman"/>
                <w:b w:val="0"/>
                <w:color w:val="000000"/>
                <w:sz w:val="24"/>
              </w:rPr>
              <w:t>FVM</w:t>
            </w:r>
          </w:p>
        </w:tc>
        <w:tc>
          <w:tcPr>
            <w:tcW w:type="dxa" w:w="6984"/>
            <w:vAlign w:val="center"/>
          </w:tcPr>
          <w:p>
            <w:pPr>
              <w:spacing w:before="40" w:after="40" w:line="276" w:lineRule="auto"/>
              <w:jc w:val="right"/>
            </w:pPr>
            <w:r>
              <w:rPr>
                <w:rFonts w:ascii="Times New Roman" w:hAnsi="Times New Roman"/>
                <w:b w:val="0"/>
                <w:color w:val="000000"/>
                <w:sz w:val="24"/>
              </w:rPr>
              <w:t>Fact-value match</w:t>
            </w:r>
          </w:p>
        </w:tc>
      </w:tr>
      <w:tr>
        <w:trPr>
          <w:cantSplit/>
        </w:trPr>
        <w:tc>
          <w:tcPr>
            <w:tcW w:type="dxa" w:w="1584"/>
            <w:vAlign w:val="center"/>
          </w:tcPr>
          <w:p>
            <w:pPr>
              <w:spacing w:before="40" w:after="40" w:line="276" w:lineRule="auto"/>
              <w:jc w:val="left"/>
            </w:pPr>
            <w:r>
              <w:rPr>
                <w:rFonts w:ascii="Times New Roman" w:hAnsi="Times New Roman"/>
                <w:b w:val="0"/>
                <w:color w:val="000000"/>
                <w:sz w:val="24"/>
              </w:rPr>
              <w:t>LLM</w:t>
            </w:r>
          </w:p>
        </w:tc>
        <w:tc>
          <w:tcPr>
            <w:tcW w:type="dxa" w:w="6984"/>
            <w:vAlign w:val="center"/>
          </w:tcPr>
          <w:p>
            <w:pPr>
              <w:spacing w:before="40" w:after="40" w:line="276" w:lineRule="auto"/>
              <w:jc w:val="right"/>
            </w:pPr>
            <w:r>
              <w:rPr>
                <w:rFonts w:ascii="Times New Roman" w:hAnsi="Times New Roman"/>
                <w:b w:val="0"/>
                <w:color w:val="000000"/>
                <w:sz w:val="24"/>
              </w:rPr>
              <w:t>Large language model</w:t>
            </w:r>
          </w:p>
        </w:tc>
      </w:tr>
      <w:tr>
        <w:trPr>
          <w:cantSplit/>
        </w:trPr>
        <w:tc>
          <w:tcPr>
            <w:tcW w:type="dxa" w:w="1584"/>
            <w:vAlign w:val="center"/>
          </w:tcPr>
          <w:p>
            <w:pPr>
              <w:spacing w:before="40" w:after="40" w:line="276" w:lineRule="auto"/>
              <w:jc w:val="left"/>
            </w:pPr>
            <w:r>
              <w:rPr>
                <w:rFonts w:ascii="Times New Roman" w:hAnsi="Times New Roman"/>
                <w:b w:val="0"/>
                <w:color w:val="000000"/>
                <w:sz w:val="24"/>
              </w:rPr>
              <w:t>MCP</w:t>
            </w:r>
          </w:p>
        </w:tc>
        <w:tc>
          <w:tcPr>
            <w:tcW w:type="dxa" w:w="6984"/>
            <w:vAlign w:val="center"/>
          </w:tcPr>
          <w:p>
            <w:pPr>
              <w:spacing w:before="40" w:after="40" w:line="276" w:lineRule="auto"/>
              <w:jc w:val="right"/>
            </w:pPr>
            <w:r>
              <w:rPr>
                <w:rFonts w:ascii="Times New Roman" w:hAnsi="Times New Roman"/>
                <w:b w:val="0"/>
                <w:color w:val="000000"/>
                <w:sz w:val="24"/>
              </w:rPr>
              <w:t>Model Context Protocol</w:t>
            </w:r>
          </w:p>
        </w:tc>
      </w:tr>
      <w:tr>
        <w:trPr>
          <w:cantSplit/>
        </w:trPr>
        <w:tc>
          <w:tcPr>
            <w:tcW w:type="dxa" w:w="1584"/>
            <w:vAlign w:val="center"/>
          </w:tcPr>
          <w:p>
            <w:pPr>
              <w:spacing w:before="40" w:after="40" w:line="276" w:lineRule="auto"/>
              <w:jc w:val="left"/>
            </w:pPr>
            <w:r>
              <w:rPr>
                <w:rFonts w:ascii="Times New Roman" w:hAnsi="Times New Roman"/>
                <w:b w:val="0"/>
                <w:color w:val="000000"/>
                <w:sz w:val="24"/>
              </w:rPr>
              <w:t>MRR</w:t>
            </w:r>
          </w:p>
        </w:tc>
        <w:tc>
          <w:tcPr>
            <w:tcW w:type="dxa" w:w="6984"/>
            <w:vAlign w:val="center"/>
          </w:tcPr>
          <w:p>
            <w:pPr>
              <w:spacing w:before="40" w:after="40" w:line="276" w:lineRule="auto"/>
              <w:jc w:val="right"/>
            </w:pPr>
            <w:r>
              <w:rPr>
                <w:rFonts w:ascii="Times New Roman" w:hAnsi="Times New Roman"/>
                <w:b w:val="0"/>
                <w:color w:val="000000"/>
                <w:sz w:val="24"/>
              </w:rPr>
              <w:t>Mean reciprocal rank</w:t>
            </w:r>
          </w:p>
        </w:tc>
      </w:tr>
      <w:tr>
        <w:trPr>
          <w:cantSplit/>
        </w:trPr>
        <w:tc>
          <w:tcPr>
            <w:tcW w:type="dxa" w:w="1584"/>
            <w:vAlign w:val="center"/>
          </w:tcPr>
          <w:p>
            <w:pPr>
              <w:spacing w:before="40" w:after="40" w:line="276" w:lineRule="auto"/>
              <w:jc w:val="left"/>
            </w:pPr>
            <w:r>
              <w:rPr>
                <w:rFonts w:ascii="Times New Roman" w:hAnsi="Times New Roman"/>
                <w:b w:val="0"/>
                <w:color w:val="000000"/>
                <w:sz w:val="24"/>
              </w:rPr>
              <w:t>OCR</w:t>
            </w:r>
          </w:p>
        </w:tc>
        <w:tc>
          <w:tcPr>
            <w:tcW w:type="dxa" w:w="6984"/>
            <w:vAlign w:val="center"/>
          </w:tcPr>
          <w:p>
            <w:pPr>
              <w:spacing w:before="40" w:after="40" w:line="276" w:lineRule="auto"/>
              <w:jc w:val="right"/>
            </w:pPr>
            <w:r>
              <w:rPr>
                <w:rFonts w:ascii="Times New Roman" w:hAnsi="Times New Roman"/>
                <w:b w:val="0"/>
                <w:color w:val="000000"/>
                <w:sz w:val="24"/>
              </w:rPr>
              <w:t>Optical character recognition</w:t>
            </w:r>
          </w:p>
        </w:tc>
      </w:tr>
      <w:tr>
        <w:trPr>
          <w:cantSplit/>
        </w:trPr>
        <w:tc>
          <w:tcPr>
            <w:tcW w:type="dxa" w:w="1584"/>
            <w:vAlign w:val="center"/>
          </w:tcPr>
          <w:p>
            <w:pPr>
              <w:spacing w:before="40" w:after="40" w:line="276" w:lineRule="auto"/>
              <w:jc w:val="left"/>
            </w:pPr>
            <w:r>
              <w:rPr>
                <w:rFonts w:ascii="Times New Roman" w:hAnsi="Times New Roman"/>
                <w:b w:val="0"/>
                <w:color w:val="000000"/>
                <w:sz w:val="24"/>
              </w:rPr>
              <w:t>RAG</w:t>
            </w:r>
          </w:p>
        </w:tc>
        <w:tc>
          <w:tcPr>
            <w:tcW w:type="dxa" w:w="6984"/>
            <w:vAlign w:val="center"/>
          </w:tcPr>
          <w:p>
            <w:pPr>
              <w:spacing w:before="40" w:after="40" w:line="276" w:lineRule="auto"/>
              <w:jc w:val="right"/>
            </w:pPr>
            <w:r>
              <w:rPr>
                <w:rFonts w:ascii="Times New Roman" w:hAnsi="Times New Roman"/>
                <w:b w:val="0"/>
                <w:color w:val="000000"/>
                <w:sz w:val="24"/>
              </w:rPr>
              <w:t>Retrieval-augmented generation</w:t>
            </w:r>
          </w:p>
        </w:tc>
      </w:tr>
      <w:tr>
        <w:trPr>
          <w:cantSplit/>
        </w:trPr>
        <w:tc>
          <w:tcPr>
            <w:tcW w:type="dxa" w:w="1584"/>
            <w:vAlign w:val="center"/>
          </w:tcPr>
          <w:p>
            <w:pPr>
              <w:spacing w:before="40" w:after="40" w:line="276" w:lineRule="auto"/>
              <w:jc w:val="left"/>
            </w:pPr>
            <w:r>
              <w:rPr>
                <w:rFonts w:ascii="Times New Roman" w:hAnsi="Times New Roman"/>
                <w:b w:val="0"/>
                <w:color w:val="000000"/>
                <w:sz w:val="24"/>
              </w:rPr>
              <w:t>RRF</w:t>
            </w:r>
          </w:p>
        </w:tc>
        <w:tc>
          <w:tcPr>
            <w:tcW w:type="dxa" w:w="6984"/>
            <w:vAlign w:val="center"/>
          </w:tcPr>
          <w:p>
            <w:pPr>
              <w:spacing w:before="40" w:after="40" w:line="276" w:lineRule="auto"/>
              <w:jc w:val="right"/>
            </w:pPr>
            <w:r>
              <w:rPr>
                <w:rFonts w:ascii="Times New Roman" w:hAnsi="Times New Roman"/>
                <w:b w:val="0"/>
                <w:color w:val="000000"/>
                <w:sz w:val="24"/>
              </w:rPr>
              <w:t>Reciprocal rank fusion</w:t>
            </w:r>
          </w:p>
        </w:tc>
      </w:tr>
      <w:tr>
        <w:trPr>
          <w:cantSplit/>
        </w:trPr>
        <w:tc>
          <w:tcPr>
            <w:tcW w:type="dxa" w:w="1584"/>
            <w:vAlign w:val="center"/>
          </w:tcPr>
          <w:p>
            <w:pPr>
              <w:spacing w:before="40" w:after="40" w:line="276" w:lineRule="auto"/>
              <w:jc w:val="left"/>
            </w:pPr>
            <w:r>
              <w:rPr>
                <w:rFonts w:ascii="Times New Roman" w:hAnsi="Times New Roman"/>
                <w:b w:val="0"/>
                <w:color w:val="000000"/>
                <w:sz w:val="24"/>
              </w:rPr>
              <w:t>RSS</w:t>
            </w:r>
          </w:p>
        </w:tc>
        <w:tc>
          <w:tcPr>
            <w:tcW w:type="dxa" w:w="6984"/>
            <w:vAlign w:val="center"/>
          </w:tcPr>
          <w:p>
            <w:pPr>
              <w:spacing w:before="40" w:after="40" w:line="276" w:lineRule="auto"/>
              <w:jc w:val="right"/>
            </w:pPr>
            <w:r>
              <w:rPr>
                <w:rFonts w:ascii="Times New Roman" w:hAnsi="Times New Roman"/>
                <w:b w:val="0"/>
                <w:color w:val="000000"/>
                <w:sz w:val="24"/>
              </w:rPr>
              <w:t>Resident set size</w:t>
            </w:r>
          </w:p>
        </w:tc>
      </w:tr>
      <w:tr>
        <w:trPr>
          <w:cantSplit/>
        </w:trPr>
        <w:tc>
          <w:tcPr>
            <w:tcW w:type="dxa" w:w="1584"/>
            <w:vAlign w:val="center"/>
          </w:tcPr>
          <w:p>
            <w:pPr>
              <w:spacing w:before="40" w:after="40" w:line="276" w:lineRule="auto"/>
              <w:jc w:val="left"/>
            </w:pPr>
            <w:r>
              <w:rPr>
                <w:rFonts w:ascii="Times New Roman" w:hAnsi="Times New Roman"/>
                <w:b w:val="0"/>
                <w:color w:val="000000"/>
                <w:sz w:val="24"/>
              </w:rPr>
              <w:t>VRAM</w:t>
            </w:r>
          </w:p>
        </w:tc>
        <w:tc>
          <w:tcPr>
            <w:tcW w:type="dxa" w:w="6984"/>
            <w:vAlign w:val="center"/>
          </w:tcPr>
          <w:p>
            <w:pPr>
              <w:spacing w:before="40" w:after="40" w:line="276" w:lineRule="auto"/>
              <w:jc w:val="right"/>
            </w:pPr>
            <w:r>
              <w:rPr>
                <w:rFonts w:ascii="Times New Roman" w:hAnsi="Times New Roman"/>
                <w:b w:val="0"/>
                <w:color w:val="000000"/>
                <w:sz w:val="24"/>
              </w:rPr>
              <w:t>Video random-access memory</w:t>
            </w:r>
          </w:p>
        </w:tc>
      </w:tr>
    </w:tbl>
    <w:p>
      <w:pPr>
        <w:keepNext w:val="0"/>
        <w:keepLines w:val="0"/>
        <w:spacing w:before="0" w:after="0" w:line="20" w:lineRule="exact"/>
        <w:jc w:val="both"/>
        <w:sectPr w:rsidR="002B6FB2">
          <w:footerReference w:type="default" r:id="rId12"/>
          <w:pgSz w:w="11906" w:h="16838"/>
          <w:pgMar w:top="1440" w:right="1440" w:bottom="1440" w:left="1872" w:header="709" w:footer="624" w:gutter="0"/>
          <w:pgNumType w:start="0" w:fmt="lowerRoman"/>
          <w:cols w:space="720"/>
          <w:titlePg/>
        </w:sectPr>
      </w:pPr>
      <w:r>
        <w:rPr>
          <w:rFonts w:ascii="Times New Roman" w:hAnsi="Times New Roman"/>
          <w:b w:val="0"/>
          <w:color w:val="000000"/>
          <w:sz w:val="24"/>
        </w:rPr>
      </w:r>
    </w:p>
    <w:p>
      <w:pPr>
        <w:keepNext/>
        <w:keepLines w:val="0"/>
        <w:spacing w:before="0" w:after="160" w:line="276" w:lineRule="auto"/>
        <w:jc w:val="center"/>
      </w:pPr>
      <w:r>
        <w:rPr>
          <w:rFonts w:ascii="Times New Roman" w:hAnsi="Times New Roman"/>
          <w:b/>
          <w:color w:val="000000"/>
          <w:sz w:val="32"/>
        </w:rPr>
        <w:t>Chapter 1</w:t>
      </w:r>
    </w:p>
    <w:p>
      <w:pPr>
        <w:keepNext/>
        <w:keepLines w:val="0"/>
        <w:spacing w:before="0" w:after="240" w:line="360" w:lineRule="auto"/>
        <w:jc w:val="center"/>
      </w:pPr>
      <w:r>
        <w:rPr>
          <w:rFonts w:ascii="Times New Roman" w:hAnsi="Times New Roman"/>
          <w:b/>
          <w:color w:val="000000"/>
          <w:sz w:val="32"/>
        </w:rPr>
        <w:t>Introduction</w:t>
      </w:r>
    </w:p>
    <w:p>
      <w:pPr>
        <w:keepNext/>
        <w:keepLines w:val="0"/>
        <w:spacing w:before="0" w:after="200" w:line="276" w:lineRule="auto"/>
        <w:jc w:val="left"/>
      </w:pPr>
      <w:r>
        <w:rPr>
          <w:rFonts w:ascii="Times New Roman" w:hAnsi="Times New Roman"/>
          <w:b/>
          <w:color w:val="000000"/>
          <w:sz w:val="24"/>
        </w:rPr>
        <w:t>1.1 Introduction</w:t>
      </w:r>
    </w:p>
    <w:p>
      <w:pPr>
        <w:keepNext w:val="0"/>
        <w:keepLines w:val="0"/>
        <w:spacing w:before="240" w:after="0" w:line="480" w:lineRule="auto"/>
        <w:jc w:val="both"/>
      </w:pPr>
      <w:r>
        <w:rPr>
          <w:rFonts w:ascii="Times New Roman" w:hAnsi="Times New Roman"/>
          <w:b w:val="0"/>
          <w:color w:val="000000"/>
          <w:sz w:val="24"/>
        </w:rPr>
        <w:t>LocalMind is a local-first knowledge copilot for files, project notes and deliberately saved memories. It combines a browser interface, a local language model, document retrieval and a custom Model Context Protocol (MCP) server. The intended user is a student or knowledge worker whose useful context is distributed across folders rather than one searchable project workspace.</w:t>
      </w:r>
    </w:p>
    <w:p>
      <w:pPr>
        <w:keepNext w:val="0"/>
        <w:keepLines w:val="0"/>
        <w:spacing w:before="240" w:after="0" w:line="480" w:lineRule="auto"/>
        <w:jc w:val="both"/>
      </w:pPr>
      <w:r>
        <w:rPr>
          <w:rFonts w:ascii="Times New Roman" w:hAnsi="Times New Roman"/>
          <w:b w:val="0"/>
          <w:color w:val="000000"/>
          <w:sz w:val="24"/>
        </w:rPr>
        <w:t>Users connect selected folders, inspect extracted text, ask questions and save facts they want to retain. Originals remain at their existing paths; the application stores its index and conversational state locally. A new conversation can use persistent project memory without depending on unlimited chat history. These operations remain subject to approved-source, format and resource limits.</w:t>
      </w:r>
    </w:p>
    <w:p>
      <w:pPr>
        <w:keepNext w:val="0"/>
        <w:keepLines w:val="0"/>
        <w:spacing w:before="240" w:after="0" w:line="480" w:lineRule="auto"/>
        <w:jc w:val="both"/>
      </w:pPr>
      <w:r>
        <w:rPr>
          <w:rFonts w:ascii="Times New Roman" w:hAnsi="Times New Roman"/>
          <w:b w:val="0"/>
          <w:color w:val="000000"/>
          <w:sz w:val="24"/>
        </w:rPr>
        <w:t>This updated report distinguishes three engineering stages: the historical evidence-delivery failure, a research-only diagnostic and the subsequently implemented production repair. Exact serialized-cost fitting is now applied to both local platform copies. A replay improves factual completion, but reused questions, passage-prefix losses and limited tool use prevent a general accuracy claim. The contribution remains inspectable local integration and reproducible evaluation rather than a new retrieval algorithm.</w:t>
      </w:r>
    </w:p>
    <w:p>
      <w:pPr>
        <w:keepNext/>
        <w:keepLines w:val="0"/>
        <w:pageBreakBefore/>
        <w:spacing w:before="0" w:after="200" w:line="276" w:lineRule="auto"/>
        <w:jc w:val="left"/>
      </w:pPr>
      <w:r>
        <w:rPr>
          <w:rFonts w:ascii="Times New Roman" w:hAnsi="Times New Roman"/>
          <w:b/>
          <w:color w:val="000000"/>
          <w:sz w:val="24"/>
        </w:rPr>
        <w:t>1.2 Problem statement</w:t>
      </w:r>
    </w:p>
    <w:p>
      <w:pPr>
        <w:keepNext w:val="0"/>
        <w:keepLines w:val="0"/>
        <w:spacing w:before="240" w:after="0" w:line="480" w:lineRule="auto"/>
        <w:jc w:val="both"/>
      </w:pPr>
      <w:r>
        <w:rPr>
          <w:rFonts w:ascii="Times New Roman" w:hAnsi="Times New Roman"/>
          <w:b w:val="0"/>
          <w:color w:val="000000"/>
          <w:sz w:val="24"/>
        </w:rPr>
        <w:t>A project decision may be recorded in a Markdown note, an implementation detail in source code and a schedule in a PDF. Filename search helps when the user remembers suitable words. A conversational assistant without access to those records may produce a plausible answer from model parameters or require repeated uploads. Persistent local context addresses this practical fragmentation.</w:t>
      </w:r>
    </w:p>
    <w:p>
      <w:pPr>
        <w:keepNext w:val="0"/>
        <w:keepLines w:val="0"/>
        <w:spacing w:before="240" w:after="0" w:line="480" w:lineRule="auto"/>
        <w:jc w:val="both"/>
      </w:pPr>
      <w:r>
        <w:rPr>
          <w:rFonts w:ascii="Times New Roman" w:hAnsi="Times New Roman"/>
          <w:b w:val="0"/>
          <w:color w:val="000000"/>
          <w:sz w:val="24"/>
        </w:rPr>
        <w:t>The engineering problem includes both obtaining evidence and delivering it intact to the model. Historical LocalMind retrieval found the expected material, but approximate clipping discarded the evidence message after JSON serialization expanded it. The production repair addresses that failure through exact serialized UTF-8 accounting. Remaining challenges include selecting facts beyond short passage prefixes and verifying the relationships asserted in generated answers.</w:t>
      </w:r>
    </w:p>
    <w:p>
      <w:pPr>
        <w:keepNext w:val="0"/>
        <w:keepLines w:val="0"/>
        <w:spacing w:before="240" w:after="0" w:line="480" w:lineRule="auto"/>
        <w:jc w:val="both"/>
      </w:pPr>
      <w:r>
        <w:rPr>
          <w:rFonts w:ascii="Times New Roman" w:hAnsi="Times New Roman"/>
          <w:b w:val="0"/>
          <w:color w:val="000000"/>
          <w:sz w:val="24"/>
        </w:rPr>
        <w:t>The research question is how effectively a compact local model can use approved evidence through a custom MCP service on a constrained laptop. Retrieval, context retention, alias-based factual completion, summaries and resource demand are evaluated separately. The new production replay reuses frozen questions and is not held-out confirmation. Privacy means local processing after installation; zero recurring inference-API charges do not eliminate hardware, electricity, storage or maintenance costs.</w:t>
      </w:r>
    </w:p>
    <w:p>
      <w:pPr>
        <w:keepNext/>
        <w:keepLines w:val="0"/>
        <w:pageBreakBefore/>
        <w:spacing w:before="0" w:after="200" w:line="276" w:lineRule="auto"/>
        <w:jc w:val="left"/>
      </w:pPr>
      <w:r>
        <w:rPr>
          <w:rFonts w:ascii="Times New Roman" w:hAnsi="Times New Roman"/>
          <w:b/>
          <w:color w:val="000000"/>
          <w:sz w:val="24"/>
        </w:rPr>
        <w:t>1.3 Scope of research</w:t>
      </w:r>
    </w:p>
    <w:p>
      <w:pPr>
        <w:keepNext w:val="0"/>
        <w:keepLines w:val="0"/>
        <w:spacing w:before="240" w:after="0" w:line="480" w:lineRule="auto"/>
        <w:jc w:val="both"/>
      </w:pPr>
      <w:r>
        <w:rPr>
          <w:rFonts w:ascii="Times New Roman" w:hAnsi="Times New Roman"/>
          <w:b w:val="0"/>
          <w:color w:val="000000"/>
          <w:sz w:val="24"/>
        </w:rPr>
        <w:t>The system covers approved folders containing supported text, Markdown, code, DOCX text and PDFs with extractable text. It provides indexing, hybrid search, extraction viewing, source-linked chat, summaries, explicit memories, project workspaces and saved plans. The Windows edition supplies platform-specific setup and filesystem safeguards. Both local copies now contain the same repaired inference code; the repair is uncommitted and is identified by its source hash.</w:t>
      </w:r>
    </w:p>
    <w:p>
      <w:pPr>
        <w:keepNext w:val="0"/>
        <w:keepLines w:val="0"/>
        <w:spacing w:before="240" w:after="0" w:line="480" w:lineRule="auto"/>
        <w:jc w:val="both"/>
      </w:pPr>
      <w:r>
        <w:rPr>
          <w:rFonts w:ascii="Times New Roman" w:hAnsi="Times New Roman"/>
          <w:b w:val="0"/>
          <w:color w:val="000000"/>
          <w:sz w:val="24"/>
        </w:rPr>
        <w:t>Local drive means files already available on the laptop HDD, SSD or an explicitly approved accessible path. The application does not silently scan every partition. Arbitrary binary understanding, image-only PDF OCR, continuous watching, encrypted storage and autonomous code execution remain outside scope. Exact message fitting preserves bounded evidence input; it does not guarantee inclusion of every fact or correct generation.</w:t>
      </w:r>
    </w:p>
    <w:p>
      <w:pPr>
        <w:keepNext/>
        <w:keepLines w:val="0"/>
        <w:spacing w:before="0" w:after="200" w:line="276" w:lineRule="auto"/>
        <w:jc w:val="left"/>
      </w:pPr>
      <w:r>
        <w:rPr>
          <w:rFonts w:ascii="Times New Roman" w:hAnsi="Times New Roman"/>
          <w:b/>
          <w:color w:val="000000"/>
          <w:sz w:val="24"/>
        </w:rPr>
        <w:t>1.4 Research hypothesis</w:t>
      </w:r>
    </w:p>
    <w:p>
      <w:pPr>
        <w:keepNext w:val="0"/>
        <w:keepLines w:val="0"/>
        <w:spacing w:before="240" w:after="0" w:line="480" w:lineRule="auto"/>
        <w:jc w:val="both"/>
      </w:pPr>
      <w:r>
        <w:rPr>
          <w:rFonts w:ascii="Times New Roman" w:hAnsi="Times New Roman"/>
          <w:b w:val="0"/>
          <w:color w:val="000000"/>
          <w:sz w:val="24"/>
        </w:rPr>
        <w:t>H1 predicts complete expected evidence within five results on the synthetic corpus; this holds for lexical and hybrid retrieval. H2 predicts reliable complete factual answers; the repair improves completion to 7/24 and 3/24, leaving H2 unsupported as a reliability claim. H3 predicts an adaptive MCP-agent benefit over single-pass RAG; no additional model-selected tool executes, and the replay provides no such benefit. These findings concern reused synthetic questions.</w:t>
      </w:r>
    </w:p>
    <w:p>
      <w:pPr>
        <w:keepNext/>
        <w:keepLines w:val="0"/>
        <w:pageBreakBefore/>
        <w:spacing w:before="0" w:after="200" w:line="276" w:lineRule="auto"/>
        <w:jc w:val="left"/>
      </w:pPr>
      <w:r>
        <w:rPr>
          <w:rFonts w:ascii="Times New Roman" w:hAnsi="Times New Roman"/>
          <w:b/>
          <w:color w:val="000000"/>
          <w:sz w:val="24"/>
        </w:rPr>
        <w:t>1.5 Objectives</w:t>
      </w:r>
    </w:p>
    <w:p>
      <w:pPr>
        <w:keepNext w:val="0"/>
        <w:keepLines w:val="0"/>
        <w:spacing w:before="240" w:after="0" w:line="480" w:lineRule="auto"/>
        <w:jc w:val="both"/>
      </w:pPr>
      <w:r>
        <w:rPr>
          <w:rFonts w:ascii="Times New Roman" w:hAnsi="Times New Roman"/>
          <w:b w:val="0"/>
          <w:color w:val="000000"/>
          <w:sz w:val="24"/>
        </w:rPr>
        <w:t>The primary objective is an inspectable local workflow: approve a folder, retrieve content, verify a source, retain a selected fact and reuse project context. A second objective is genuine MCP communication between the agent and persistent knowledge operations. A third is to preserve evidence across context fitting and evaluate failures with reproducible inputs.</w:t>
      </w:r>
    </w:p>
    <w:p>
      <w:pPr>
        <w:keepNext w:val="0"/>
        <w:keepLines w:val="0"/>
        <w:spacing w:before="240" w:after="0" w:line="480" w:lineRule="auto"/>
        <w:jc w:val="both"/>
      </w:pPr>
      <w:r>
        <w:rPr>
          <w:rFonts w:ascii="Times New Roman" w:hAnsi="Times New Roman"/>
          <w:b w:val="0"/>
          <w:color w:val="000000"/>
          <w:sz w:val="24"/>
        </w:rPr>
        <w:t>The original experiment and its research diagnostic remain historical records. The repaired production code is verified separately through regression tests and a replay using the same question pairs. Passing these checks establishes the exercised mechanisms and bounded input retention. It does not prove complete answers, independent generalization or successful autonomous tool selection.</w:t>
      </w:r>
    </w:p>
    <w:p>
      <w:pPr>
        <w:keepNext/>
        <w:keepLines w:val="0"/>
        <w:spacing w:before="160" w:after="120" w:line="276" w:lineRule="auto"/>
        <w:jc w:val="center"/>
      </w:pPr>
      <w:r>
        <w:rPr>
          <w:rFonts w:ascii="Times New Roman" w:hAnsi="Times New Roman"/>
          <w:b w:val="0"/>
          <w:color w:val="000000"/>
          <w:sz w:val="22"/>
        </w:rPr>
        <w:t>Table 1.1 Objective and verification mapping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2664"/>
        <w:gridCol w:w="5904"/>
      </w:tblGrid>
      <w:tr>
        <w:trPr>
          <w:cantSplit/>
          <w:tblHeader/>
        </w:trPr>
        <w:tc>
          <w:tcPr>
            <w:tcW w:type="dxa" w:w="2664"/>
            <w:vAlign w:val="center"/>
            <w:shd w:fill="EFEFEF"/>
          </w:tcPr>
          <w:p>
            <w:pPr>
              <w:spacing w:before="0" w:after="0" w:line="276" w:lineRule="auto"/>
              <w:jc w:val="left"/>
            </w:pPr>
            <w:r>
              <w:rPr>
                <w:rFonts w:ascii="Times New Roman" w:hAnsi="Times New Roman"/>
                <w:b/>
                <w:color w:val="000000"/>
                <w:sz w:val="22"/>
              </w:rPr>
              <w:t>Objective</w:t>
            </w:r>
          </w:p>
        </w:tc>
        <w:tc>
          <w:tcPr>
            <w:tcW w:type="dxa" w:w="5904"/>
            <w:vAlign w:val="center"/>
            <w:shd w:fill="EFEFEF"/>
          </w:tcPr>
          <w:p>
            <w:pPr>
              <w:spacing w:before="0" w:after="0" w:line="276" w:lineRule="auto"/>
              <w:jc w:val="left"/>
            </w:pPr>
            <w:r>
              <w:rPr>
                <w:rFonts w:ascii="Times New Roman" w:hAnsi="Times New Roman"/>
                <w:b/>
                <w:color w:val="000000"/>
                <w:sz w:val="22"/>
              </w:rPr>
              <w:t>Verification evidence</w:t>
            </w:r>
          </w:p>
        </w:tc>
      </w:tr>
      <w:tr>
        <w:trPr>
          <w:cantSplit/>
        </w:trPr>
        <w:tc>
          <w:tcPr>
            <w:tcW w:type="dxa" w:w="2664"/>
            <w:vAlign w:val="center"/>
          </w:tcPr>
          <w:p>
            <w:pPr>
              <w:spacing w:before="0" w:after="0" w:line="276" w:lineRule="auto"/>
              <w:jc w:val="left"/>
            </w:pPr>
            <w:r>
              <w:rPr>
                <w:rFonts w:ascii="Times New Roman" w:hAnsi="Times New Roman"/>
                <w:b w:val="0"/>
                <w:color w:val="000000"/>
                <w:sz w:val="22"/>
              </w:rPr>
              <w:t>Local document access</w:t>
            </w:r>
          </w:p>
        </w:tc>
        <w:tc>
          <w:tcPr>
            <w:tcW w:type="dxa" w:w="5904"/>
            <w:vAlign w:val="center"/>
          </w:tcPr>
          <w:p>
            <w:pPr>
              <w:spacing w:before="0" w:after="0" w:line="276" w:lineRule="auto"/>
              <w:jc w:val="left"/>
            </w:pPr>
            <w:r>
              <w:rPr>
                <w:rFonts w:ascii="Times New Roman" w:hAnsi="Times New Roman"/>
                <w:b w:val="0"/>
                <w:color w:val="000000"/>
                <w:sz w:val="22"/>
              </w:rPr>
              <w:t>Approved-root and extraction functional tests</w:t>
            </w:r>
          </w:p>
        </w:tc>
      </w:tr>
      <w:tr>
        <w:trPr>
          <w:cantSplit/>
        </w:trPr>
        <w:tc>
          <w:tcPr>
            <w:tcW w:type="dxa" w:w="2664"/>
            <w:vAlign w:val="center"/>
          </w:tcPr>
          <w:p>
            <w:pPr>
              <w:spacing w:before="0" w:after="0" w:line="276" w:lineRule="auto"/>
              <w:jc w:val="left"/>
            </w:pPr>
            <w:r>
              <w:rPr>
                <w:rFonts w:ascii="Times New Roman" w:hAnsi="Times New Roman"/>
                <w:b w:val="0"/>
                <w:color w:val="000000"/>
                <w:sz w:val="22"/>
              </w:rPr>
              <w:t>Persistent memory</w:t>
            </w:r>
          </w:p>
        </w:tc>
        <w:tc>
          <w:tcPr>
            <w:tcW w:type="dxa" w:w="5904"/>
            <w:vAlign w:val="center"/>
          </w:tcPr>
          <w:p>
            <w:pPr>
              <w:spacing w:before="0" w:after="0" w:line="276" w:lineRule="auto"/>
              <w:jc w:val="left"/>
            </w:pPr>
            <w:r>
              <w:rPr>
                <w:rFonts w:ascii="Times New Roman" w:hAnsi="Times New Roman"/>
                <w:b w:val="0"/>
                <w:color w:val="000000"/>
                <w:sz w:val="22"/>
              </w:rPr>
              <w:t>SQLite storage and project-scope tests</w:t>
            </w:r>
          </w:p>
        </w:tc>
      </w:tr>
      <w:tr>
        <w:trPr>
          <w:cantSplit/>
        </w:trPr>
        <w:tc>
          <w:tcPr>
            <w:tcW w:type="dxa" w:w="2664"/>
            <w:vAlign w:val="center"/>
          </w:tcPr>
          <w:p>
            <w:pPr>
              <w:spacing w:before="0" w:after="0" w:line="276" w:lineRule="auto"/>
              <w:jc w:val="left"/>
            </w:pPr>
            <w:r>
              <w:rPr>
                <w:rFonts w:ascii="Times New Roman" w:hAnsi="Times New Roman"/>
                <w:b w:val="0"/>
                <w:color w:val="000000"/>
                <w:sz w:val="22"/>
              </w:rPr>
              <w:t>Protocol-based tools</w:t>
            </w:r>
          </w:p>
        </w:tc>
        <w:tc>
          <w:tcPr>
            <w:tcW w:type="dxa" w:w="5904"/>
            <w:vAlign w:val="center"/>
          </w:tcPr>
          <w:p>
            <w:pPr>
              <w:spacing w:before="0" w:after="0" w:line="276" w:lineRule="auto"/>
              <w:jc w:val="left"/>
            </w:pPr>
            <w:r>
              <w:rPr>
                <w:rFonts w:ascii="Times New Roman" w:hAnsi="Times New Roman"/>
                <w:b w:val="0"/>
                <w:color w:val="000000"/>
                <w:sz w:val="22"/>
              </w:rPr>
              <w:t>Official SDK stdio MCP round trips</w:t>
            </w:r>
          </w:p>
        </w:tc>
      </w:tr>
      <w:tr>
        <w:trPr>
          <w:cantSplit/>
        </w:trPr>
        <w:tc>
          <w:tcPr>
            <w:tcW w:type="dxa" w:w="2664"/>
            <w:vAlign w:val="center"/>
          </w:tcPr>
          <w:p>
            <w:pPr>
              <w:spacing w:before="0" w:after="0" w:line="276" w:lineRule="auto"/>
              <w:jc w:val="left"/>
            </w:pPr>
            <w:r>
              <w:rPr>
                <w:rFonts w:ascii="Times New Roman" w:hAnsi="Times New Roman"/>
                <w:b w:val="0"/>
                <w:color w:val="000000"/>
                <w:sz w:val="22"/>
              </w:rPr>
              <w:t>Retrieval quality</w:t>
            </w:r>
          </w:p>
        </w:tc>
        <w:tc>
          <w:tcPr>
            <w:tcW w:type="dxa" w:w="5904"/>
            <w:vAlign w:val="center"/>
          </w:tcPr>
          <w:p>
            <w:pPr>
              <w:spacing w:before="0" w:after="0" w:line="276" w:lineRule="auto"/>
              <w:jc w:val="left"/>
            </w:pPr>
            <w:r>
              <w:rPr>
                <w:rFonts w:ascii="Times New Roman" w:hAnsi="Times New Roman"/>
                <w:b w:val="0"/>
                <w:color w:val="000000"/>
                <w:sz w:val="22"/>
              </w:rPr>
              <w:t>96 queries; evidence coverage at k</w:t>
            </w:r>
          </w:p>
        </w:tc>
      </w:tr>
      <w:tr>
        <w:trPr>
          <w:cantSplit/>
        </w:trPr>
        <w:tc>
          <w:tcPr>
            <w:tcW w:type="dxa" w:w="2664"/>
            <w:vAlign w:val="center"/>
          </w:tcPr>
          <w:p>
            <w:pPr>
              <w:spacing w:before="0" w:after="0" w:line="276" w:lineRule="auto"/>
              <w:jc w:val="left"/>
            </w:pPr>
            <w:r>
              <w:rPr>
                <w:rFonts w:ascii="Times New Roman" w:hAnsi="Times New Roman"/>
                <w:b w:val="0"/>
                <w:color w:val="000000"/>
                <w:sz w:val="22"/>
              </w:rPr>
              <w:t>Answer reliability</w:t>
            </w:r>
          </w:p>
        </w:tc>
        <w:tc>
          <w:tcPr>
            <w:tcW w:type="dxa" w:w="5904"/>
            <w:vAlign w:val="center"/>
          </w:tcPr>
          <w:p>
            <w:pPr>
              <w:spacing w:before="0" w:after="0" w:line="276" w:lineRule="auto"/>
              <w:jc w:val="left"/>
            </w:pPr>
            <w:r>
              <w:rPr>
                <w:rFonts w:ascii="Times New Roman" w:hAnsi="Times New Roman"/>
                <w:b w:val="0"/>
                <w:color w:val="000000"/>
                <w:sz w:val="22"/>
              </w:rPr>
              <w:t>Historical baseline and production replay; 24 positives + 8 unknowns</w:t>
            </w:r>
          </w:p>
        </w:tc>
      </w:tr>
      <w:tr>
        <w:trPr>
          <w:cantSplit/>
        </w:trPr>
        <w:tc>
          <w:tcPr>
            <w:tcW w:type="dxa" w:w="2664"/>
            <w:vAlign w:val="center"/>
          </w:tcPr>
          <w:p>
            <w:pPr>
              <w:spacing w:before="0" w:after="0" w:line="276" w:lineRule="auto"/>
              <w:jc w:val="left"/>
            </w:pPr>
            <w:r>
              <w:rPr>
                <w:rFonts w:ascii="Times New Roman" w:hAnsi="Times New Roman"/>
                <w:b w:val="0"/>
                <w:color w:val="000000"/>
                <w:sz w:val="22"/>
              </w:rPr>
              <w:t>Platform support</w:t>
            </w:r>
          </w:p>
        </w:tc>
        <w:tc>
          <w:tcPr>
            <w:tcW w:type="dxa" w:w="5904"/>
            <w:vAlign w:val="center"/>
          </w:tcPr>
          <w:p>
            <w:pPr>
              <w:spacing w:before="0" w:after="0" w:line="276" w:lineRule="auto"/>
              <w:jc w:val="left"/>
            </w:pPr>
            <w:r>
              <w:rPr>
                <w:rFonts w:ascii="Times New Roman" w:hAnsi="Times New Roman"/>
                <w:b w:val="0"/>
                <w:color w:val="000000"/>
                <w:sz w:val="22"/>
              </w:rPr>
              <w:t>Current Linux checks; historical native Windows CI</w:t>
            </w:r>
          </w:p>
        </w:tc>
      </w:tr>
    </w:tbl>
    <w:p>
      <w:pPr>
        <w:keepNext w:val="0"/>
        <w:keepLines w:val="0"/>
        <w:spacing w:before="240" w:after="0" w:line="480" w:lineRule="auto"/>
        <w:jc w:val="both"/>
      </w:pPr>
      <w:r>
        <w:rPr>
          <w:rFonts w:ascii="Times New Roman" w:hAnsi="Times New Roman"/>
          <w:b w:val="0"/>
          <w:color w:val="000000"/>
          <w:sz w:val="24"/>
        </w:rPr>
        <w:t>The acceptance evidence is intentionally mixed. Passing integration tests establishes that operations execute as specified; it does not prove that generated prose is correct. The report therefore preserves both the functioning infrastructure and the failed factual-answer experiment, and uses the latter to prioritize future engineering work.</w:t>
      </w:r>
    </w:p>
    <w:p>
      <w:pPr>
        <w:keepNext/>
        <w:keepLines w:val="0"/>
        <w:pageBreakBefore/>
        <w:spacing w:before="0" w:after="200" w:line="276" w:lineRule="auto"/>
        <w:jc w:val="left"/>
      </w:pPr>
      <w:r>
        <w:rPr>
          <w:rFonts w:ascii="Times New Roman" w:hAnsi="Times New Roman"/>
          <w:b/>
          <w:color w:val="000000"/>
          <w:sz w:val="24"/>
        </w:rPr>
        <w:t>1.6 Organization of the report</w:t>
      </w:r>
    </w:p>
    <w:p>
      <w:pPr>
        <w:keepNext w:val="0"/>
        <w:keepLines w:val="0"/>
        <w:spacing w:before="240" w:after="0" w:line="480" w:lineRule="auto"/>
        <w:jc w:val="both"/>
      </w:pPr>
      <w:r>
        <w:rPr>
          <w:rFonts w:ascii="Times New Roman" w:hAnsi="Times New Roman"/>
          <w:b w:val="0"/>
          <w:color w:val="000000"/>
          <w:sz w:val="24"/>
        </w:rPr>
        <w:t>Chapter 2 reviews retrieval-augmented generation, sparse and dense search, tool use, memory and local-first software. It distinguishes established methods from integration choices and explains why retrieval, evidence delivery and final factual quality require separate evaluation.</w:t>
      </w:r>
    </w:p>
    <w:p>
      <w:pPr>
        <w:keepNext w:val="0"/>
        <w:keepLines w:val="0"/>
        <w:spacing w:before="240" w:after="0" w:line="480" w:lineRule="auto"/>
        <w:jc w:val="both"/>
      </w:pPr>
      <w:r>
        <w:rPr>
          <w:rFonts w:ascii="Times New Roman" w:hAnsi="Times New Roman"/>
          <w:b w:val="0"/>
          <w:color w:val="000000"/>
          <w:sz w:val="24"/>
        </w:rPr>
        <w:t>Chapter 3 specifies software, hardware, functional requirements, work packages and costs. Chapter 4 follows folder approval, extraction, ranking, MCP communication, memory, model context and summarization. Its context-fitting description includes the applied production repair and the limitations that remain.</w:t>
      </w:r>
    </w:p>
    <w:p>
      <w:pPr>
        <w:keepNext w:val="0"/>
        <w:keepLines w:val="0"/>
        <w:spacing w:before="240" w:after="0" w:line="480" w:lineRule="auto"/>
        <w:jc w:val="both"/>
      </w:pPr>
      <w:r>
        <w:rPr>
          <w:rFonts w:ascii="Times New Roman" w:hAnsi="Times New Roman"/>
          <w:b w:val="0"/>
          <w:color w:val="000000"/>
          <w:sz w:val="24"/>
        </w:rPr>
        <w:t>Chapter 5 separates the historical baseline, earlier diagnostic and new production replay. It reports unchanged retrieval measurements, repaired input retention, factual completion, historical summaries and platform validation. Chapter 6 records the completed repair and prioritizes remaining work. APA references and appendices preserve provenance, demonstration instructions and the status of required institutional attachments.</w:t>
      </w:r>
    </w:p>
    <w:p>
      <w:pPr>
        <w:keepNext w:val="0"/>
        <w:keepLines w:val="0"/>
        <w:spacing w:before="240" w:after="0" w:line="480" w:lineRule="auto"/>
        <w:jc w:val="both"/>
      </w:pPr>
      <w:r>
        <w:rPr>
          <w:rFonts w:ascii="Times New Roman" w:hAnsi="Times New Roman"/>
          <w:b w:val="0"/>
          <w:color w:val="000000"/>
          <w:sz w:val="24"/>
        </w:rPr>
        <w:t>The report retains 60 physical pages, including cover and preliminary material. Front matter uses Roman numbering; the technical body restarts at page 1. The companion IEEE paper and raw records provide additional detail. Historical commits and results remain identifiable, while the current local repair is recorded separately by SHA-256 rather than attributed to an older Git commit.</w:t>
      </w:r>
    </w:p>
    <w:p>
      <w:pPr>
        <w:keepNext/>
        <w:keepLines w:val="0"/>
        <w:pageBreakBefore/>
        <w:spacing w:before="0" w:after="160" w:line="276" w:lineRule="auto"/>
        <w:jc w:val="center"/>
      </w:pPr>
      <w:r>
        <w:rPr>
          <w:rFonts w:ascii="Times New Roman" w:hAnsi="Times New Roman"/>
          <w:b/>
          <w:color w:val="000000"/>
          <w:sz w:val="32"/>
        </w:rPr>
        <w:t>Chapter 2</w:t>
      </w:r>
    </w:p>
    <w:p>
      <w:pPr>
        <w:keepNext/>
        <w:keepLines w:val="0"/>
        <w:spacing w:before="0" w:after="240" w:line="360" w:lineRule="auto"/>
        <w:jc w:val="center"/>
      </w:pPr>
      <w:r>
        <w:rPr>
          <w:rFonts w:ascii="Times New Roman" w:hAnsi="Times New Roman"/>
          <w:b/>
          <w:color w:val="000000"/>
          <w:sz w:val="32"/>
        </w:rPr>
        <w:t>Literature Review</w:t>
      </w:r>
    </w:p>
    <w:p>
      <w:pPr>
        <w:keepNext/>
        <w:keepLines w:val="0"/>
        <w:spacing w:before="0" w:after="200" w:line="276" w:lineRule="auto"/>
        <w:jc w:val="left"/>
      </w:pPr>
      <w:r>
        <w:rPr>
          <w:rFonts w:ascii="Times New Roman" w:hAnsi="Times New Roman"/>
          <w:b/>
          <w:color w:val="000000"/>
          <w:sz w:val="24"/>
        </w:rPr>
        <w:t>Retrieval-Augmented Generation and Dense Representations</w:t>
      </w:r>
    </w:p>
    <w:p>
      <w:pPr>
        <w:keepNext/>
        <w:keepLines w:val="0"/>
        <w:spacing w:before="0" w:after="120" w:line="276" w:lineRule="auto"/>
        <w:jc w:val="left"/>
      </w:pPr>
      <w:r>
        <w:rPr>
          <w:rFonts w:ascii="Times New Roman" w:hAnsi="Times New Roman"/>
          <w:b/>
          <w:color w:val="000000"/>
          <w:sz w:val="24"/>
        </w:rPr>
        <w:t>2.1 Background</w:t>
      </w:r>
    </w:p>
    <w:p>
      <w:pPr>
        <w:keepNext w:val="0"/>
        <w:keepLines w:val="0"/>
        <w:spacing w:before="240" w:after="0" w:line="480" w:lineRule="auto"/>
        <w:jc w:val="both"/>
      </w:pPr>
      <w:r>
        <w:rPr>
          <w:rFonts w:ascii="Times New Roman" w:hAnsi="Times New Roman"/>
          <w:b w:val="0"/>
          <w:color w:val="000000"/>
          <w:sz w:val="24"/>
        </w:rPr>
        <w:t>Retrieval-augmented generation connects a language model to evidence outside its parameters. Lewis et al. (2020) establish this combination as a way to use external knowledge during generation. For LocalMind, the practical implication is that current project files can supply context without retraining the chat model. The original research includes trained components and public tasks; its reported performance cannot be transferred to this different local pipeline.</w:t>
      </w:r>
    </w:p>
    <w:p>
      <w:pPr>
        <w:keepNext w:val="0"/>
        <w:keepLines w:val="0"/>
        <w:spacing w:before="240" w:after="0" w:line="480" w:lineRule="auto"/>
        <w:jc w:val="both"/>
      </w:pPr>
      <w:r>
        <w:rPr>
          <w:rFonts w:ascii="Times New Roman" w:hAnsi="Times New Roman"/>
          <w:b w:val="0"/>
          <w:color w:val="000000"/>
          <w:sz w:val="24"/>
        </w:rPr>
        <w:t>Karpukhin et al. (2020) investigate dense passage retrieval through learned question and passage encoders. Reimers and Gurevych (2019) demonstrate efficient independent sentence representations for similarity comparison. These works explain the motivation for semantic retrieval when wording differs between a question and a document. LocalMind uses EmbeddingGemma instead of those encoders, so the cited studies provide foundations rather than an implementation identity or an expected accuracy figure.</w:t>
      </w:r>
    </w:p>
    <w:p>
      <w:pPr>
        <w:keepNext w:val="0"/>
        <w:keepLines w:val="0"/>
        <w:spacing w:before="240" w:after="0" w:line="480" w:lineRule="auto"/>
        <w:jc w:val="both"/>
      </w:pPr>
      <w:r>
        <w:rPr>
          <w:rFonts w:ascii="Times New Roman" w:hAnsi="Times New Roman"/>
          <w:b w:val="0"/>
          <w:color w:val="000000"/>
          <w:sz w:val="24"/>
        </w:rPr>
        <w:t>The distinction matters for personal knowledge. Project names, identifiers, filenames, and technical terms may remain unchanged even when a question is paraphrased. Dense similarity should therefore be compared with exact lexical matching on the same extracted passages. Retrieval also precedes prompt construction: a correct search result is useful only if its evidence survives formatting and context limits. LocalMind consequently evaluates source coverage separately from final answer-value matching, preserving the possibility that retrieval succeeds while downstream generation fails. This staged view avoids treating a source card as proof of a grounded answer.</w:t>
      </w:r>
    </w:p>
    <w:p>
      <w:pPr>
        <w:keepNext/>
        <w:keepLines w:val="0"/>
        <w:pageBreakBefore/>
        <w:spacing w:before="0" w:after="200" w:line="276" w:lineRule="auto"/>
        <w:jc w:val="left"/>
      </w:pPr>
      <w:r>
        <w:rPr>
          <w:rFonts w:ascii="Times New Roman" w:hAnsi="Times New Roman"/>
          <w:b/>
          <w:color w:val="000000"/>
          <w:sz w:val="24"/>
        </w:rPr>
        <w:t>Lexical Retrieval and Reciprocal Rank Fusion</w:t>
      </w:r>
    </w:p>
    <w:p>
      <w:pPr>
        <w:keepNext w:val="0"/>
        <w:keepLines w:val="0"/>
        <w:spacing w:before="240" w:after="0" w:line="480" w:lineRule="auto"/>
        <w:jc w:val="both"/>
      </w:pPr>
      <w:r>
        <w:rPr>
          <w:rFonts w:ascii="Times New Roman" w:hAnsi="Times New Roman"/>
          <w:b w:val="0"/>
          <w:color w:val="000000"/>
          <w:sz w:val="24"/>
        </w:rPr>
        <w:t>BM25 remains a useful lexical foundation because it combines term-frequency saturation with document-length normalization (Robertson &amp; Zaragoza, 2009). Exact terminology is common in notes, specifications, and code. LocalMind implements lexical search with SQLite FTS5 across chunk text, title, and path. Its field weights are 1.0, 2.0, and 0.3. SQLite negates the conventional BM25 expression, so better matches have numerically lower scores (SQLite developers, n.d.).</w:t>
      </w:r>
    </w:p>
    <w:p>
      <w:pPr>
        <w:keepNext w:val="0"/>
        <w:keepLines w:val="0"/>
        <w:spacing w:before="240" w:after="0" w:line="480" w:lineRule="auto"/>
        <w:jc w:val="both"/>
      </w:pPr>
      <w:r>
        <w:rPr>
          <w:rFonts w:ascii="Times New Roman" w:hAnsi="Times New Roman"/>
          <w:b w:val="0"/>
          <w:color w:val="000000"/>
          <w:sz w:val="24"/>
        </w:rPr>
        <w:t>Reciprocal rank fusion combines positions from separate rankings rather than calibrating their raw score scales (Cormack et al., 2009). LocalMind adds equal contributions of 1/(60 + rank) from lexical and dense lists, with absent candidates contributing zero. This is an established fusion rule, not a new algorithm. The dense component uses positive cosine similarity over compatible local embeddings. If embeddings are unavailable, lexical search remains usable without hosted services.</w:t>
      </w:r>
    </w:p>
    <w:p>
      <w:pPr>
        <w:keepNext w:val="0"/>
        <w:keepLines w:val="0"/>
        <w:spacing w:before="240" w:after="0" w:line="480" w:lineRule="auto"/>
        <w:jc w:val="both"/>
      </w:pPr>
      <w:r>
        <w:rPr>
          <w:rFonts w:ascii="Times New Roman" w:hAnsi="Times New Roman"/>
          <w:b w:val="0"/>
          <w:color w:val="000000"/>
          <w:sz w:val="24"/>
        </w:rPr>
        <w:t>The combination is plausible but must be tested against both components. A dense result can improve recall while lowering the position of an exact lexical match; fusion therefore need not dominate every query. On the small identifier-rich LocalMind corpus, lexical and hybrid methods both reach complete-evidence success for 96 of 96 questions within five results. Hybrid adds no gain at that cutoff. These conditional findings support retaining a strong baseline rather than presuming that a more complex retrieval method is universally better. They do not establish answer accuracy or large-archive performance.</w:t>
      </w:r>
    </w:p>
    <w:p>
      <w:pPr>
        <w:keepNext/>
        <w:keepLines w:val="0"/>
        <w:pageBreakBefore/>
        <w:spacing w:before="0" w:after="200" w:line="276" w:lineRule="auto"/>
        <w:jc w:val="left"/>
      </w:pPr>
      <w:r>
        <w:rPr>
          <w:rFonts w:ascii="Times New Roman" w:hAnsi="Times New Roman"/>
          <w:b/>
          <w:color w:val="000000"/>
          <w:sz w:val="24"/>
        </w:rPr>
        <w:t>Tool-Using Agents and Bounded Actions</w:t>
      </w:r>
    </w:p>
    <w:p>
      <w:pPr>
        <w:keepNext w:val="0"/>
        <w:keepLines w:val="0"/>
        <w:spacing w:before="240" w:after="0" w:line="480" w:lineRule="auto"/>
        <w:jc w:val="both"/>
      </w:pPr>
      <w:r>
        <w:rPr>
          <w:rFonts w:ascii="Times New Roman" w:hAnsi="Times New Roman"/>
          <w:b w:val="0"/>
          <w:color w:val="000000"/>
          <w:sz w:val="24"/>
        </w:rPr>
        <w:t>A conversational assistant becomes more useful when it can obtain missing information through defined operations. ReAct studies interaction between reasoning and actions (Yao et al., 2023), while Toolformer investigates learning when and how to call APIs (Schick et al., 2023). LocalMind draws on this general tool-use direction. It uses an existing pretrained model and runtime checks; it does not reproduce Toolformer's training method or experimentally expose internal reasoning.</w:t>
      </w:r>
    </w:p>
    <w:p>
      <w:pPr>
        <w:keepNext w:val="0"/>
        <w:keepLines w:val="0"/>
        <w:spacing w:before="240" w:after="0" w:line="480" w:lineRule="auto"/>
        <w:jc w:val="both"/>
      </w:pPr>
      <w:r>
        <w:rPr>
          <w:rFonts w:ascii="Times New Roman" w:hAnsi="Times New Roman"/>
          <w:b w:val="0"/>
          <w:color w:val="000000"/>
          <w:sz w:val="24"/>
        </w:rPr>
        <w:t>The implemented agent receives six read schemas for search, document reading, recall, document listing, project listing, and conversation lookup. Its loop permits at most four model/tool rounds and six additional tool executions after initial retrieval and recall. A final synthesis call can run with tools disabled. The host rejects requests outside its allowlist. These bounds make execution finite and keep generated requests from becoming arbitrary shell or filesystem operations.</w:t>
      </w:r>
    </w:p>
    <w:p>
      <w:pPr>
        <w:keepNext w:val="0"/>
        <w:keepLines w:val="0"/>
        <w:spacing w:before="240" w:after="0" w:line="480" w:lineRule="auto"/>
        <w:jc w:val="both"/>
      </w:pPr>
      <w:r>
        <w:rPr>
          <w:rFonts w:ascii="Times New Roman" w:hAnsi="Times New Roman"/>
          <w:b w:val="0"/>
          <w:color w:val="000000"/>
          <w:sz w:val="24"/>
        </w:rPr>
        <w:t>An available tool is not evidence that the model used it effectively. Neither the historical runs nor the repaired production replay execute additional model-selected tools. The current agent therefore shows bounded protocol capability without an observed adaptive retrieval advantage. Tool schemas also consume prompt space. Exact-cost fitting now prevents the demonstrated avoidable evidence drop, but it cannot make short passage prefixes contain missing facts. Future experiments need tasks requiring further reads and must inspect whether those reads deliver the requested values. Successful protocol exchange, retained input and factual output remain distinct properties.</w:t>
      </w:r>
    </w:p>
    <w:p>
      <w:pPr>
        <w:keepNext/>
        <w:keepLines w:val="0"/>
        <w:pageBreakBefore/>
        <w:spacing w:before="0" w:after="200" w:line="276" w:lineRule="auto"/>
        <w:jc w:val="left"/>
      </w:pPr>
      <w:r>
        <w:rPr>
          <w:rFonts w:ascii="Times New Roman" w:hAnsi="Times New Roman"/>
          <w:b/>
          <w:color w:val="000000"/>
          <w:sz w:val="24"/>
        </w:rPr>
        <w:t>Persistent Memory Architectures</w:t>
      </w:r>
    </w:p>
    <w:p>
      <w:pPr>
        <w:keepNext w:val="0"/>
        <w:keepLines w:val="0"/>
        <w:spacing w:before="240" w:after="0" w:line="480" w:lineRule="auto"/>
        <w:jc w:val="both"/>
      </w:pPr>
      <w:r>
        <w:rPr>
          <w:rFonts w:ascii="Times New Roman" w:hAnsi="Times New Roman"/>
          <w:b w:val="0"/>
          <w:color w:val="000000"/>
          <w:sz w:val="24"/>
        </w:rPr>
        <w:t>Persistent memory is broader than saving a chat transcript. MemGPT explores hierarchical context and virtual memory management (Packer et al., 2023). MemoryBank considers user-oriented memory and updating or forgetting information (Zhong et al., 2024). LongMem augments language modeling through a learned memory architecture (Wang et al., 2023). These designs illustrate different mechanisms; their benefits cannot be assumed for a system that simply stores relational records.</w:t>
      </w:r>
    </w:p>
    <w:p>
      <w:pPr>
        <w:keepNext w:val="0"/>
        <w:keepLines w:val="0"/>
        <w:spacing w:before="240" w:after="0" w:line="480" w:lineRule="auto"/>
        <w:jc w:val="both"/>
      </w:pPr>
      <w:r>
        <w:rPr>
          <w:rFonts w:ascii="Times New Roman" w:hAnsi="Times New Roman"/>
          <w:b w:val="0"/>
          <w:color w:val="000000"/>
          <w:sz w:val="24"/>
        </w:rPr>
        <w:t>LocalMind keeps explicit notes, project descriptions, sessions, and conversation messages in SQLite. Notes can have a kind and an optional project association. Memory lookup uses bounded substring filtering, while conversation search uses FTS5. The implementation has no knowledge graph, learned consolidation, automatic preference extraction, or forgetting schedule. A record surviving a restart establishes persistence, but does not guarantee that it will be retrieved or fit into a later prompt. This separation is central to an accurate account of personalization.</w:t>
      </w:r>
    </w:p>
    <w:p>
      <w:pPr>
        <w:keepNext w:val="0"/>
        <w:keepLines w:val="0"/>
        <w:spacing w:before="240" w:after="0" w:line="480" w:lineRule="auto"/>
        <w:jc w:val="both"/>
      </w:pPr>
      <w:r>
        <w:rPr>
          <w:rFonts w:ascii="Times New Roman" w:hAnsi="Times New Roman"/>
          <w:b w:val="0"/>
          <w:color w:val="000000"/>
          <w:sz w:val="24"/>
        </w:rPr>
        <w:t>Related agent research adds further distinctions. Generative Agents includes memory and reflection for simulated behavior (Park et al., 2023), while Reflexion retains textual feedback across trials (Shinn et al., 2023). LocalMind does not implement those reflection loops. Its user explicitly controls memory writes, and retrieved text cannot directly invoke the current-user memory command path. This restriction keeps stored knowledge inspectable and avoids presenting ordinary conversation history as autonomous learning. Future evaluation should measure whether saved context improves later assistance, including stale preferences and conflicting notes, rather than equating database presence with useful long-term memory.</w:t>
      </w:r>
    </w:p>
    <w:p>
      <w:pPr>
        <w:keepNext/>
        <w:keepLines w:val="0"/>
        <w:pageBreakBefore/>
        <w:spacing w:before="0" w:after="200" w:line="276" w:lineRule="auto"/>
        <w:jc w:val="left"/>
      </w:pPr>
      <w:r>
        <w:rPr>
          <w:rFonts w:ascii="Times New Roman" w:hAnsi="Times New Roman"/>
          <w:b/>
          <w:color w:val="000000"/>
          <w:sz w:val="24"/>
        </w:rPr>
        <w:t>Local Ownership, MCP, and Untrusted Documents</w:t>
      </w:r>
    </w:p>
    <w:p>
      <w:pPr>
        <w:keepNext w:val="0"/>
        <w:keepLines w:val="0"/>
        <w:spacing w:before="240" w:after="0" w:line="480" w:lineRule="auto"/>
        <w:jc w:val="both"/>
      </w:pPr>
      <w:r>
        <w:rPr>
          <w:rFonts w:ascii="Times New Roman" w:hAnsi="Times New Roman"/>
          <w:b w:val="0"/>
          <w:color w:val="000000"/>
          <w:sz w:val="24"/>
        </w:rPr>
        <w:t>Local-first software emphasizes ownership, offline access, and user agency, alongside a broader vision of collaborative replication (Kleppmann et al., 2019). LocalMind implements single-laptop processing rather than replicated collaboration. Its application, database, approved folders, and model server can operate locally after installation. Model and dependency downloads need Internet access initially. Avoiding paid inference APIs therefore removes an API fee, not hardware, storage, electricity, installation bandwidth, or maintenance costs.</w:t>
      </w:r>
    </w:p>
    <w:p>
      <w:pPr>
        <w:keepNext w:val="0"/>
        <w:keepLines w:val="0"/>
        <w:spacing w:before="240" w:after="0" w:line="480" w:lineRule="auto"/>
        <w:jc w:val="both"/>
      </w:pPr>
      <w:r>
        <w:rPr>
          <w:rFonts w:ascii="Times New Roman" w:hAnsi="Times New Roman"/>
          <w:b w:val="0"/>
          <w:color w:val="000000"/>
          <w:sz w:val="24"/>
        </w:rPr>
        <w:t>MCP supplies an interoperable host, client, and server interface for tools and resources (Model Context Protocol contributors, 2025). LocalMind negotiates an actual SDK session with a separate stdio server and exchanges structured results. The server exposes both reads and explicit mutations, but the built-in model receives only read tools. Protocol annotations describe behavior; they do not enforce authorization. External clients need their own controls and can transmit returned content outside the local boundary.</w:t>
      </w:r>
    </w:p>
    <w:p>
      <w:pPr>
        <w:keepNext w:val="0"/>
        <w:keepLines w:val="0"/>
        <w:spacing w:before="240" w:after="0" w:line="480" w:lineRule="auto"/>
        <w:jc w:val="both"/>
      </w:pPr>
      <w:r>
        <w:rPr>
          <w:rFonts w:ascii="Times New Roman" w:hAnsi="Times New Roman"/>
          <w:b w:val="0"/>
          <w:color w:val="000000"/>
          <w:sz w:val="24"/>
        </w:rPr>
        <w:t>Privacy and security must remain separate claims. Indirect prompt injection can embed instructions in retrieved material (Greshake et al., 2023). Local inference does not make such content trustworthy. LocalMind marks it as reference data and limits model capabilities, yet reports no adversarial security proof. The database is unencrypted, and software with the user's permissions can read it. Folder approval also bounds access: the application does not silently scan the entire drive. These choices support a controlled workflow without establishing confidentiality against compromised local software or every possible document instruction.</w:t>
      </w:r>
    </w:p>
    <w:p>
      <w:pPr>
        <w:keepNext/>
        <w:keepLines w:val="0"/>
        <w:pageBreakBefore/>
        <w:spacing w:before="0" w:after="200" w:line="276" w:lineRule="auto"/>
        <w:jc w:val="left"/>
      </w:pPr>
      <w:r>
        <w:rPr>
          <w:rFonts w:ascii="Times New Roman" w:hAnsi="Times New Roman"/>
          <w:b/>
          <w:color w:val="000000"/>
          <w:sz w:val="24"/>
        </w:rPr>
        <w:t>Evaluation: Evidence, Context, and Citations</w:t>
      </w:r>
    </w:p>
    <w:p>
      <w:pPr>
        <w:keepNext w:val="0"/>
        <w:keepLines w:val="0"/>
        <w:spacing w:before="240" w:after="0" w:line="480" w:lineRule="auto"/>
        <w:jc w:val="both"/>
      </w:pPr>
      <w:r>
        <w:rPr>
          <w:rFonts w:ascii="Times New Roman" w:hAnsi="Times New Roman"/>
          <w:b w:val="0"/>
          <w:color w:val="000000"/>
          <w:sz w:val="24"/>
        </w:rPr>
        <w:t>BEIR emphasizes heterogeneous retrieval tasks and the continuing value of lexical baselines (Thakur et al., 2021). MTEB evaluates embeddings across varied tasks and languages (Muennighoff et al., 2023). These references motivate broader future testing; their scores are not LocalMind results. A small English corpus with recurring project identifiers cannot establish general personal-drive performance. Evaluation needs an explicit corpus, frozen questions, correct source paths, and clearly defined success criteria.</w:t>
      </w:r>
    </w:p>
    <w:p>
      <w:pPr>
        <w:keepNext w:val="0"/>
        <w:keepLines w:val="0"/>
        <w:spacing w:before="240" w:after="0" w:line="480" w:lineRule="auto"/>
        <w:jc w:val="both"/>
      </w:pPr>
      <w:r>
        <w:rPr>
          <w:rFonts w:ascii="Times New Roman" w:hAnsi="Times New Roman"/>
          <w:b w:val="0"/>
          <w:color w:val="000000"/>
          <w:sz w:val="24"/>
        </w:rPr>
        <w:t>RAGAs separates retrieval, faithfulness, and answer quality (Es et al., 2024). Citation research further asks whether a reference supports a generated claim (Gao et al., 2023). LocalMind consequently distinguishes complete-evidence success, fact-value matching, source-index validity, and gold-path coverage. A correct citation index can accompany a wrong date or incomplete answer. Its deterministic alias scorer also has limits: a negated or misattributed value can match, and a valid unlisted paraphrase can fail. No language model judges the reported quantitative results.</w:t>
      </w:r>
    </w:p>
    <w:p>
      <w:pPr>
        <w:keepNext w:val="0"/>
        <w:keepLines w:val="0"/>
        <w:spacing w:before="240" w:after="0" w:line="480" w:lineRule="auto"/>
        <w:jc w:val="both"/>
      </w:pPr>
      <w:r>
        <w:rPr>
          <w:rFonts w:ascii="Times New Roman" w:hAnsi="Times New Roman"/>
          <w:b w:val="0"/>
          <w:color w:val="000000"/>
          <w:sz w:val="24"/>
        </w:rPr>
        <w:t>Lost in the Middle shows that long context does not guarantee uniform use of relevant information (Liu et al., 2024). The historical LocalMind summary experiment likewise separates section visitation from final value retention: fifteen sections were processed, but only ten of twenty-four requested values survived. This does not reproduce the earlier study’s mechanism. The production context repair replay did not repeat those summary tasks. Retrieval, prompt delivery and output claims therefore require separate records; a completed serialization repair should not be reported as a demonstrated solution to long-document summarization.</w:t>
      </w:r>
    </w:p>
    <w:p>
      <w:pPr>
        <w:keepNext/>
        <w:keepLines w:val="0"/>
        <w:pageBreakBefore/>
        <w:spacing w:before="0" w:after="200" w:line="276" w:lineRule="auto"/>
        <w:jc w:val="left"/>
      </w:pPr>
      <w:r>
        <w:rPr>
          <w:rFonts w:ascii="Times New Roman" w:hAnsi="Times New Roman"/>
          <w:b/>
          <w:color w:val="000000"/>
          <w:sz w:val="24"/>
        </w:rPr>
        <w:t>Research Gap and LocalMind's Positioning</w:t>
      </w:r>
    </w:p>
    <w:p>
      <w:pPr>
        <w:keepNext/>
        <w:keepLines w:val="0"/>
        <w:spacing w:before="0" w:after="120" w:line="276" w:lineRule="auto"/>
        <w:jc w:val="left"/>
      </w:pPr>
      <w:r>
        <w:rPr>
          <w:rFonts w:ascii="Times New Roman" w:hAnsi="Times New Roman"/>
          <w:b/>
          <w:color w:val="000000"/>
          <w:sz w:val="24"/>
        </w:rPr>
        <w:t>2.2 Summary of literature review and research gap</w:t>
      </w:r>
    </w:p>
    <w:p>
      <w:pPr>
        <w:keepNext w:val="0"/>
        <w:keepLines w:val="0"/>
        <w:spacing w:before="240" w:after="0" w:line="480" w:lineRule="auto"/>
        <w:jc w:val="both"/>
      </w:pPr>
      <w:r>
        <w:rPr>
          <w:rFonts w:ascii="Times New Roman" w:hAnsi="Times New Roman"/>
          <w:b w:val="0"/>
          <w:color w:val="000000"/>
          <w:sz w:val="24"/>
        </w:rPr>
        <w:t>Prior work establishes retrieval-augmented generation, sparse and dense matching, fusion, tool use, memory and local ownership (Lewis et al., 2020; Cormack et al., 2009; Yao et al., 2023; Kleppmann et al., 2019). LocalMind addresses practical integration on a constrained laptop, not an absence of earlier memory assistants. It combines approved-folder access, persistent context and an inspectable MCP interface.</w:t>
      </w:r>
    </w:p>
    <w:p>
      <w:pPr>
        <w:keepNext w:val="0"/>
        <w:keepLines w:val="0"/>
        <w:spacing w:before="240" w:after="0" w:line="480" w:lineRule="auto"/>
        <w:jc w:val="both"/>
      </w:pPr>
      <w:r>
        <w:rPr>
          <w:rFonts w:ascii="Times New Roman" w:hAnsi="Times New Roman"/>
          <w:b w:val="0"/>
          <w:color w:val="000000"/>
          <w:sz w:val="24"/>
        </w:rPr>
        <w:t>The engineering contribution now includes an applied exact serialized UTF-8 context repair alongside local serving, SQLite retrieval and complete-text pagination. The repair adds no learned retrieval or memory algorithm. Persistence still differs from useful recall, and source references still differ from supported claims (Packer et al., 2023; Es et al., 2024; Gao et al., 2023).</w:t>
      </w:r>
    </w:p>
    <w:p>
      <w:pPr>
        <w:keepNext w:val="0"/>
        <w:keepLines w:val="0"/>
        <w:spacing w:before="240" w:after="0" w:line="480" w:lineRule="auto"/>
        <w:jc w:val="both"/>
      </w:pPr>
      <w:r>
        <w:rPr>
          <w:rFonts w:ascii="Times New Roman" w:hAnsi="Times New Roman"/>
          <w:b w:val="0"/>
          <w:color w:val="000000"/>
          <w:sz w:val="24"/>
        </w:rPr>
        <w:t>The unchanged retrieval experiment covers all 96 questions within five lexical or hybrid results. Historically both generators completed 0/24 positives after evidence loss. The repaired production replay retains references for all 64 requests and reaches 7/24 single-pass and 3/24 agent AFVM, matching earlier diagnostic totals. Reused questions are not independent confirmation, and no additional model-selected tool executes. Prefix selection, summary retention, heterogeneous archives and semantic assessment remain open work. This positions LocalMind as a repaired, auditable prototype with measured limitations.</w:t>
      </w:r>
    </w:p>
    <w:p>
      <w:pPr>
        <w:keepNext/>
        <w:keepLines w:val="0"/>
        <w:pageBreakBefore/>
        <w:spacing w:before="0" w:after="160" w:line="276" w:lineRule="auto"/>
        <w:jc w:val="center"/>
      </w:pPr>
      <w:r>
        <w:rPr>
          <w:rFonts w:ascii="Times New Roman" w:hAnsi="Times New Roman"/>
          <w:b/>
          <w:color w:val="000000"/>
          <w:sz w:val="32"/>
        </w:rPr>
        <w:t>Chapter 3</w:t>
      </w:r>
    </w:p>
    <w:p>
      <w:pPr>
        <w:keepNext/>
        <w:keepLines w:val="0"/>
        <w:spacing w:before="0" w:after="240" w:line="360" w:lineRule="auto"/>
        <w:jc w:val="center"/>
      </w:pPr>
      <w:r>
        <w:rPr>
          <w:rFonts w:ascii="Times New Roman" w:hAnsi="Times New Roman"/>
          <w:b/>
          <w:color w:val="000000"/>
          <w:sz w:val="32"/>
        </w:rPr>
        <w:t>Software Requirements Specification</w:t>
      </w:r>
    </w:p>
    <w:p>
      <w:pPr>
        <w:keepNext/>
        <w:keepLines w:val="0"/>
        <w:spacing w:before="0" w:after="200" w:line="276" w:lineRule="auto"/>
        <w:jc w:val="left"/>
      </w:pPr>
      <w:r>
        <w:rPr>
          <w:rFonts w:ascii="Times New Roman" w:hAnsi="Times New Roman"/>
          <w:b/>
          <w:color w:val="000000"/>
          <w:sz w:val="24"/>
        </w:rPr>
        <w:t>3.1 Software Tool Platform/ Tools/Framework used</w:t>
      </w:r>
    </w:p>
    <w:p>
      <w:pPr>
        <w:keepNext w:val="0"/>
        <w:keepLines w:val="0"/>
        <w:spacing w:before="240" w:after="0" w:line="480" w:lineRule="auto"/>
        <w:jc w:val="both"/>
      </w:pPr>
      <w:r>
        <w:rPr>
          <w:rFonts w:ascii="Times New Roman" w:hAnsi="Times New Roman"/>
          <w:b w:val="0"/>
          <w:color w:val="000000"/>
          <w:sz w:val="24"/>
        </w:rPr>
        <w:t>The software requirements translate the need for private, persistent assistance into components that can run on a personal laptop. LocalMind combines a browser interface, a local HTTP application, document processing, durable storage and an independent MCP memory server. The browser presents approved folders, conversations, memories and projects. The application coordinates these functions without requiring a paid inference service.</w:t>
      </w:r>
    </w:p>
    <w:p>
      <w:pPr>
        <w:keepNext w:val="0"/>
        <w:keepLines w:val="0"/>
        <w:spacing w:before="240" w:after="0" w:line="480" w:lineRule="auto"/>
        <w:jc w:val="both"/>
      </w:pPr>
      <w:r>
        <w:rPr>
          <w:rFonts w:ascii="Times New Roman" w:hAnsi="Times New Roman"/>
          <w:b w:val="0"/>
          <w:color w:val="000000"/>
          <w:sz w:val="24"/>
        </w:rPr>
        <w:t>Python provides the common implementation language. FastAPI and Uvicorn serve the local interface, while the official MCP SDK handles protocol initialization, tool discovery and tool execution. SQLite stores both structured records and searchable text. NumPy supports vector calculations, and pypdf extracts textual PDF content. DOCX processing uses Python ZIP and XML libraries. Ollama supplies installed local language and embedding models.</w:t>
      </w:r>
    </w:p>
    <w:p>
      <w:pPr>
        <w:keepNext/>
        <w:keepLines w:val="0"/>
        <w:spacing w:before="160" w:after="120" w:line="276" w:lineRule="auto"/>
        <w:jc w:val="center"/>
      </w:pPr>
      <w:r>
        <w:rPr>
          <w:rFonts w:ascii="Times New Roman" w:hAnsi="Times New Roman"/>
          <w:b w:val="0"/>
          <w:color w:val="000000"/>
          <w:sz w:val="22"/>
        </w:rPr>
        <w:t>Table 3.1. Principal software components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2664"/>
        <w:gridCol w:w="5904"/>
      </w:tblGrid>
      <w:tr>
        <w:trPr>
          <w:cantSplit/>
          <w:tblHeader/>
        </w:trPr>
        <w:tc>
          <w:tcPr>
            <w:tcW w:type="dxa" w:w="2664"/>
            <w:vAlign w:val="center"/>
            <w:shd w:fill="EFEFEF"/>
          </w:tcPr>
          <w:p>
            <w:pPr>
              <w:spacing w:before="0" w:after="0" w:line="276" w:lineRule="auto"/>
              <w:jc w:val="left"/>
            </w:pPr>
            <w:r>
              <w:rPr>
                <w:rFonts w:ascii="Times New Roman" w:hAnsi="Times New Roman"/>
                <w:b/>
                <w:color w:val="000000"/>
                <w:sz w:val="22"/>
              </w:rPr>
              <w:t>Component</w:t>
            </w:r>
          </w:p>
        </w:tc>
        <w:tc>
          <w:tcPr>
            <w:tcW w:type="dxa" w:w="5904"/>
            <w:vAlign w:val="center"/>
            <w:shd w:fill="EFEFEF"/>
          </w:tcPr>
          <w:p>
            <w:pPr>
              <w:spacing w:before="0" w:after="0" w:line="276" w:lineRule="auto"/>
              <w:jc w:val="left"/>
            </w:pPr>
            <w:r>
              <w:rPr>
                <w:rFonts w:ascii="Times New Roman" w:hAnsi="Times New Roman"/>
                <w:b/>
                <w:color w:val="000000"/>
                <w:sz w:val="22"/>
              </w:rPr>
              <w:t>Purpose</w:t>
            </w:r>
          </w:p>
        </w:tc>
      </w:tr>
      <w:tr>
        <w:trPr>
          <w:cantSplit/>
        </w:trPr>
        <w:tc>
          <w:tcPr>
            <w:tcW w:type="dxa" w:w="2664"/>
            <w:vAlign w:val="center"/>
          </w:tcPr>
          <w:p>
            <w:pPr>
              <w:spacing w:before="0" w:after="0" w:line="276" w:lineRule="auto"/>
              <w:jc w:val="left"/>
            </w:pPr>
            <w:r>
              <w:rPr>
                <w:rFonts w:ascii="Times New Roman" w:hAnsi="Times New Roman"/>
                <w:b w:val="0"/>
                <w:color w:val="000000"/>
                <w:sz w:val="22"/>
              </w:rPr>
              <w:t>FastAPI / Uvicorn</w:t>
            </w:r>
          </w:p>
        </w:tc>
        <w:tc>
          <w:tcPr>
            <w:tcW w:type="dxa" w:w="5904"/>
            <w:vAlign w:val="center"/>
          </w:tcPr>
          <w:p>
            <w:pPr>
              <w:spacing w:before="0" w:after="0" w:line="276" w:lineRule="auto"/>
              <w:jc w:val="left"/>
            </w:pPr>
            <w:r>
              <w:rPr>
                <w:rFonts w:ascii="Times New Roman" w:hAnsi="Times New Roman"/>
                <w:b w:val="0"/>
                <w:color w:val="000000"/>
                <w:sz w:val="22"/>
              </w:rPr>
              <w:t>Local browser application</w:t>
            </w:r>
          </w:p>
        </w:tc>
      </w:tr>
      <w:tr>
        <w:trPr>
          <w:cantSplit/>
        </w:trPr>
        <w:tc>
          <w:tcPr>
            <w:tcW w:type="dxa" w:w="2664"/>
            <w:vAlign w:val="center"/>
          </w:tcPr>
          <w:p>
            <w:pPr>
              <w:spacing w:before="0" w:after="0" w:line="276" w:lineRule="auto"/>
              <w:jc w:val="left"/>
            </w:pPr>
            <w:r>
              <w:rPr>
                <w:rFonts w:ascii="Times New Roman" w:hAnsi="Times New Roman"/>
                <w:b w:val="0"/>
                <w:color w:val="000000"/>
                <w:sz w:val="22"/>
              </w:rPr>
              <w:t>SQLite / FTS5</w:t>
            </w:r>
          </w:p>
        </w:tc>
        <w:tc>
          <w:tcPr>
            <w:tcW w:type="dxa" w:w="5904"/>
            <w:vAlign w:val="center"/>
          </w:tcPr>
          <w:p>
            <w:pPr>
              <w:spacing w:before="0" w:after="0" w:line="276" w:lineRule="auto"/>
              <w:jc w:val="left"/>
            </w:pPr>
            <w:r>
              <w:rPr>
                <w:rFonts w:ascii="Times New Roman" w:hAnsi="Times New Roman"/>
                <w:b w:val="0"/>
                <w:color w:val="000000"/>
                <w:sz w:val="22"/>
              </w:rPr>
              <w:t>Durable records and lexical search</w:t>
            </w:r>
          </w:p>
        </w:tc>
      </w:tr>
      <w:tr>
        <w:trPr>
          <w:cantSplit/>
        </w:trPr>
        <w:tc>
          <w:tcPr>
            <w:tcW w:type="dxa" w:w="2664"/>
            <w:vAlign w:val="center"/>
          </w:tcPr>
          <w:p>
            <w:pPr>
              <w:spacing w:before="0" w:after="0" w:line="276" w:lineRule="auto"/>
              <w:jc w:val="left"/>
            </w:pPr>
            <w:r>
              <w:rPr>
                <w:rFonts w:ascii="Times New Roman" w:hAnsi="Times New Roman"/>
                <w:b w:val="0"/>
                <w:color w:val="000000"/>
                <w:sz w:val="22"/>
              </w:rPr>
              <w:t>MCP SDK</w:t>
            </w:r>
          </w:p>
        </w:tc>
        <w:tc>
          <w:tcPr>
            <w:tcW w:type="dxa" w:w="5904"/>
            <w:vAlign w:val="center"/>
          </w:tcPr>
          <w:p>
            <w:pPr>
              <w:spacing w:before="0" w:after="0" w:line="276" w:lineRule="auto"/>
              <w:jc w:val="left"/>
            </w:pPr>
            <w:r>
              <w:rPr>
                <w:rFonts w:ascii="Times New Roman" w:hAnsi="Times New Roman"/>
                <w:b w:val="0"/>
                <w:color w:val="000000"/>
                <w:sz w:val="22"/>
              </w:rPr>
              <w:t>Separate stdio memory service</w:t>
            </w:r>
          </w:p>
        </w:tc>
      </w:tr>
      <w:tr>
        <w:trPr>
          <w:cantSplit/>
        </w:trPr>
        <w:tc>
          <w:tcPr>
            <w:tcW w:type="dxa" w:w="2664"/>
            <w:vAlign w:val="center"/>
          </w:tcPr>
          <w:p>
            <w:pPr>
              <w:spacing w:before="0" w:after="0" w:line="276" w:lineRule="auto"/>
              <w:jc w:val="left"/>
            </w:pPr>
            <w:r>
              <w:rPr>
                <w:rFonts w:ascii="Times New Roman" w:hAnsi="Times New Roman"/>
                <w:b w:val="0"/>
                <w:color w:val="000000"/>
                <w:sz w:val="22"/>
              </w:rPr>
              <w:t>Ollama / NumPy</w:t>
            </w:r>
          </w:p>
        </w:tc>
        <w:tc>
          <w:tcPr>
            <w:tcW w:type="dxa" w:w="5904"/>
            <w:vAlign w:val="center"/>
          </w:tcPr>
          <w:p>
            <w:pPr>
              <w:spacing w:before="0" w:after="0" w:line="276" w:lineRule="auto"/>
              <w:jc w:val="left"/>
            </w:pPr>
            <w:r>
              <w:rPr>
                <w:rFonts w:ascii="Times New Roman" w:hAnsi="Times New Roman"/>
                <w:b w:val="0"/>
                <w:color w:val="000000"/>
                <w:sz w:val="22"/>
              </w:rPr>
              <w:t>Local inference and vector scoring</w:t>
            </w:r>
          </w:p>
        </w:tc>
      </w:tr>
      <w:tr>
        <w:trPr>
          <w:cantSplit/>
        </w:trPr>
        <w:tc>
          <w:tcPr>
            <w:tcW w:type="dxa" w:w="2664"/>
            <w:vAlign w:val="center"/>
          </w:tcPr>
          <w:p>
            <w:pPr>
              <w:spacing w:before="0" w:after="0" w:line="276" w:lineRule="auto"/>
              <w:jc w:val="left"/>
            </w:pPr>
            <w:r>
              <w:rPr>
                <w:rFonts w:ascii="Times New Roman" w:hAnsi="Times New Roman"/>
                <w:b w:val="0"/>
                <w:color w:val="000000"/>
                <w:sz w:val="22"/>
              </w:rPr>
              <w:t>pypdf / ZIP / XML</w:t>
            </w:r>
          </w:p>
        </w:tc>
        <w:tc>
          <w:tcPr>
            <w:tcW w:type="dxa" w:w="5904"/>
            <w:vAlign w:val="center"/>
          </w:tcPr>
          <w:p>
            <w:pPr>
              <w:spacing w:before="0" w:after="0" w:line="276" w:lineRule="auto"/>
              <w:jc w:val="left"/>
            </w:pPr>
            <w:r>
              <w:rPr>
                <w:rFonts w:ascii="Times New Roman" w:hAnsi="Times New Roman"/>
                <w:b w:val="0"/>
                <w:color w:val="000000"/>
                <w:sz w:val="22"/>
              </w:rPr>
              <w:t>Supported document extraction</w:t>
            </w:r>
          </w:p>
        </w:tc>
      </w:tr>
    </w:tbl>
    <w:p>
      <w:pPr>
        <w:keepNext/>
        <w:keepLines w:val="0"/>
        <w:pageBreakBefore/>
        <w:spacing w:before="0" w:after="200" w:line="276" w:lineRule="auto"/>
        <w:jc w:val="left"/>
      </w:pPr>
      <w:r>
        <w:rPr>
          <w:rFonts w:ascii="Times New Roman" w:hAnsi="Times New Roman"/>
          <w:b/>
          <w:color w:val="000000"/>
          <w:sz w:val="24"/>
        </w:rPr>
        <w:t>Hardware and Execution Environment</w:t>
      </w:r>
    </w:p>
    <w:p>
      <w:pPr>
        <w:keepNext/>
        <w:keepLines w:val="0"/>
        <w:spacing w:before="0" w:after="120" w:line="276" w:lineRule="auto"/>
        <w:jc w:val="left"/>
      </w:pPr>
      <w:r>
        <w:rPr>
          <w:rFonts w:ascii="Times New Roman" w:hAnsi="Times New Roman"/>
          <w:b/>
          <w:color w:val="000000"/>
          <w:sz w:val="24"/>
        </w:rPr>
        <w:t>3.2 Hardware tools</w:t>
      </w:r>
    </w:p>
    <w:p>
      <w:pPr>
        <w:keepNext w:val="0"/>
        <w:keepLines w:val="0"/>
        <w:spacing w:before="240" w:after="0" w:line="480" w:lineRule="auto"/>
        <w:jc w:val="both"/>
      </w:pPr>
      <w:r>
        <w:rPr>
          <w:rFonts w:ascii="Times New Roman" w:hAnsi="Times New Roman"/>
          <w:b w:val="0"/>
          <w:color w:val="000000"/>
          <w:sz w:val="24"/>
        </w:rPr>
        <w:t>The target configuration is an existing laptop with an AMD Ryzen 7 250 processor, an NVIDIA RTX 5050 Laptop GPU and nominal 16 GB system memory. This configuration motivates a compact quantized language model and a local embedding model. It also motivates explicit limits on document size, extraction, context length and tool execution. Available memory must support the desktop, model runtime, application and temporary processing together.</w:t>
      </w:r>
    </w:p>
    <w:p>
      <w:pPr>
        <w:keepNext w:val="0"/>
        <w:keepLines w:val="0"/>
        <w:spacing w:before="240" w:after="0" w:line="480" w:lineRule="auto"/>
        <w:jc w:val="both"/>
      </w:pPr>
      <w:r>
        <w:rPr>
          <w:rFonts w:ascii="Times New Roman" w:hAnsi="Times New Roman"/>
          <w:b w:val="0"/>
          <w:color w:val="000000"/>
          <w:sz w:val="24"/>
        </w:rPr>
        <w:t>The measured Linux environment exposed approximately 14,768.9 MiB system memory and 8,151 MiB GPU memory. These operating system observations differ from marketed capacity because of reporting units and reservations. The evaluated chat model was Qwen3 4B in Q4_K_M format; EmbeddingGemma generated 768-dimensional document vectors. Model dimensions are metadata of this deployment rather than fixed assumptions in the storage layer.</w:t>
      </w:r>
    </w:p>
    <w:p>
      <w:pPr>
        <w:keepNext/>
        <w:keepLines w:val="0"/>
        <w:spacing w:before="160" w:after="120" w:line="276" w:lineRule="auto"/>
        <w:jc w:val="center"/>
      </w:pPr>
      <w:r>
        <w:rPr>
          <w:rFonts w:ascii="Times New Roman" w:hAnsi="Times New Roman"/>
          <w:b w:val="0"/>
          <w:color w:val="000000"/>
          <w:sz w:val="22"/>
        </w:rPr>
        <w:t>Table 3.2. Evaluated laptop configuration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2664"/>
        <w:gridCol w:w="5904"/>
      </w:tblGrid>
      <w:tr>
        <w:trPr>
          <w:cantSplit/>
          <w:tblHeader/>
        </w:trPr>
        <w:tc>
          <w:tcPr>
            <w:tcW w:type="dxa" w:w="2664"/>
            <w:vAlign w:val="center"/>
            <w:shd w:fill="EFEFEF"/>
          </w:tcPr>
          <w:p>
            <w:pPr>
              <w:spacing w:before="0" w:after="0" w:line="276" w:lineRule="auto"/>
              <w:jc w:val="left"/>
            </w:pPr>
            <w:r>
              <w:rPr>
                <w:rFonts w:ascii="Times New Roman" w:hAnsi="Times New Roman"/>
                <w:b/>
                <w:color w:val="000000"/>
                <w:sz w:val="22"/>
              </w:rPr>
              <w:t>Item</w:t>
            </w:r>
          </w:p>
        </w:tc>
        <w:tc>
          <w:tcPr>
            <w:tcW w:type="dxa" w:w="5904"/>
            <w:vAlign w:val="center"/>
            <w:shd w:fill="EFEFEF"/>
          </w:tcPr>
          <w:p>
            <w:pPr>
              <w:spacing w:before="0" w:after="0" w:line="276" w:lineRule="auto"/>
              <w:jc w:val="left"/>
            </w:pPr>
            <w:r>
              <w:rPr>
                <w:rFonts w:ascii="Times New Roman" w:hAnsi="Times New Roman"/>
                <w:b/>
                <w:color w:val="000000"/>
                <w:sz w:val="22"/>
              </w:rPr>
              <w:t>Observed configuration</w:t>
            </w:r>
          </w:p>
        </w:tc>
      </w:tr>
      <w:tr>
        <w:trPr>
          <w:cantSplit/>
        </w:trPr>
        <w:tc>
          <w:tcPr>
            <w:tcW w:type="dxa" w:w="2664"/>
            <w:vAlign w:val="center"/>
          </w:tcPr>
          <w:p>
            <w:pPr>
              <w:spacing w:before="0" w:after="0" w:line="276" w:lineRule="auto"/>
              <w:jc w:val="left"/>
            </w:pPr>
            <w:r>
              <w:rPr>
                <w:rFonts w:ascii="Times New Roman" w:hAnsi="Times New Roman"/>
                <w:b w:val="0"/>
                <w:color w:val="000000"/>
                <w:sz w:val="22"/>
              </w:rPr>
              <w:t>Processor</w:t>
            </w:r>
          </w:p>
        </w:tc>
        <w:tc>
          <w:tcPr>
            <w:tcW w:type="dxa" w:w="5904"/>
            <w:vAlign w:val="center"/>
          </w:tcPr>
          <w:p>
            <w:pPr>
              <w:spacing w:before="0" w:after="0" w:line="276" w:lineRule="auto"/>
              <w:jc w:val="left"/>
            </w:pPr>
            <w:r>
              <w:rPr>
                <w:rFonts w:ascii="Times New Roman" w:hAnsi="Times New Roman"/>
                <w:b w:val="0"/>
                <w:color w:val="000000"/>
                <w:sz w:val="22"/>
              </w:rPr>
              <w:t>Ryzen 7 250; 8 cores, 16 threads</w:t>
            </w:r>
          </w:p>
        </w:tc>
      </w:tr>
      <w:tr>
        <w:trPr>
          <w:cantSplit/>
        </w:trPr>
        <w:tc>
          <w:tcPr>
            <w:tcW w:type="dxa" w:w="2664"/>
            <w:vAlign w:val="center"/>
          </w:tcPr>
          <w:p>
            <w:pPr>
              <w:spacing w:before="0" w:after="0" w:line="276" w:lineRule="auto"/>
              <w:jc w:val="left"/>
            </w:pPr>
            <w:r>
              <w:rPr>
                <w:rFonts w:ascii="Times New Roman" w:hAnsi="Times New Roman"/>
                <w:b w:val="0"/>
                <w:color w:val="000000"/>
                <w:sz w:val="22"/>
              </w:rPr>
              <w:t>Graphics</w:t>
            </w:r>
          </w:p>
        </w:tc>
        <w:tc>
          <w:tcPr>
            <w:tcW w:type="dxa" w:w="5904"/>
            <w:vAlign w:val="center"/>
          </w:tcPr>
          <w:p>
            <w:pPr>
              <w:spacing w:before="0" w:after="0" w:line="276" w:lineRule="auto"/>
              <w:jc w:val="left"/>
            </w:pPr>
            <w:r>
              <w:rPr>
                <w:rFonts w:ascii="Times New Roman" w:hAnsi="Times New Roman"/>
                <w:b w:val="0"/>
                <w:color w:val="000000"/>
                <w:sz w:val="22"/>
              </w:rPr>
              <w:t>RTX 5050 Laptop; 8,151 MiB VRAM</w:t>
            </w:r>
          </w:p>
        </w:tc>
      </w:tr>
      <w:tr>
        <w:trPr>
          <w:cantSplit/>
        </w:trPr>
        <w:tc>
          <w:tcPr>
            <w:tcW w:type="dxa" w:w="2664"/>
            <w:vAlign w:val="center"/>
          </w:tcPr>
          <w:p>
            <w:pPr>
              <w:spacing w:before="0" w:after="0" w:line="276" w:lineRule="auto"/>
              <w:jc w:val="left"/>
            </w:pPr>
            <w:r>
              <w:rPr>
                <w:rFonts w:ascii="Times New Roman" w:hAnsi="Times New Roman"/>
                <w:b w:val="0"/>
                <w:color w:val="000000"/>
                <w:sz w:val="22"/>
              </w:rPr>
              <w:t>System memory</w:t>
            </w:r>
          </w:p>
        </w:tc>
        <w:tc>
          <w:tcPr>
            <w:tcW w:type="dxa" w:w="5904"/>
            <w:vAlign w:val="center"/>
          </w:tcPr>
          <w:p>
            <w:pPr>
              <w:spacing w:before="0" w:after="0" w:line="276" w:lineRule="auto"/>
              <w:jc w:val="left"/>
            </w:pPr>
            <w:r>
              <w:rPr>
                <w:rFonts w:ascii="Times New Roman" w:hAnsi="Times New Roman"/>
                <w:b w:val="0"/>
                <w:color w:val="000000"/>
                <w:sz w:val="22"/>
              </w:rPr>
              <w:t>Nominal 16 GB; 14,768.9 MiB visible</w:t>
            </w:r>
          </w:p>
        </w:tc>
      </w:tr>
      <w:tr>
        <w:trPr>
          <w:cantSplit/>
        </w:trPr>
        <w:tc>
          <w:tcPr>
            <w:tcW w:type="dxa" w:w="2664"/>
            <w:vAlign w:val="center"/>
          </w:tcPr>
          <w:p>
            <w:pPr>
              <w:spacing w:before="0" w:after="0" w:line="276" w:lineRule="auto"/>
              <w:jc w:val="left"/>
            </w:pPr>
            <w:r>
              <w:rPr>
                <w:rFonts w:ascii="Times New Roman" w:hAnsi="Times New Roman"/>
                <w:b w:val="0"/>
                <w:color w:val="000000"/>
                <w:sz w:val="22"/>
              </w:rPr>
              <w:t>Model runtime</w:t>
            </w:r>
          </w:p>
        </w:tc>
        <w:tc>
          <w:tcPr>
            <w:tcW w:type="dxa" w:w="5904"/>
            <w:vAlign w:val="center"/>
          </w:tcPr>
          <w:p>
            <w:pPr>
              <w:spacing w:before="0" w:after="0" w:line="276" w:lineRule="auto"/>
              <w:jc w:val="left"/>
            </w:pPr>
            <w:r>
              <w:rPr>
                <w:rFonts w:ascii="Times New Roman" w:hAnsi="Times New Roman"/>
                <w:b w:val="0"/>
                <w:color w:val="000000"/>
                <w:sz w:val="22"/>
              </w:rPr>
              <w:t>Ollama 0.35.0</w:t>
            </w:r>
          </w:p>
        </w:tc>
      </w:tr>
      <w:tr>
        <w:trPr>
          <w:cantSplit/>
        </w:trPr>
        <w:tc>
          <w:tcPr>
            <w:tcW w:type="dxa" w:w="2664"/>
            <w:vAlign w:val="center"/>
          </w:tcPr>
          <w:p>
            <w:pPr>
              <w:spacing w:before="0" w:after="0" w:line="276" w:lineRule="auto"/>
              <w:jc w:val="left"/>
            </w:pPr>
            <w:r>
              <w:rPr>
                <w:rFonts w:ascii="Times New Roman" w:hAnsi="Times New Roman"/>
                <w:b w:val="0"/>
                <w:color w:val="000000"/>
                <w:sz w:val="22"/>
              </w:rPr>
              <w:t>Operating system</w:t>
            </w:r>
          </w:p>
        </w:tc>
        <w:tc>
          <w:tcPr>
            <w:tcW w:type="dxa" w:w="5904"/>
            <w:vAlign w:val="center"/>
          </w:tcPr>
          <w:p>
            <w:pPr>
              <w:spacing w:before="0" w:after="0" w:line="276" w:lineRule="auto"/>
              <w:jc w:val="left"/>
            </w:pPr>
            <w:r>
              <w:rPr>
                <w:rFonts w:ascii="Times New Roman" w:hAnsi="Times New Roman"/>
                <w:b w:val="0"/>
                <w:color w:val="000000"/>
                <w:sz w:val="22"/>
              </w:rPr>
              <w:t>Linux 7.0.0-38-generic</w:t>
            </w:r>
          </w:p>
        </w:tc>
      </w:tr>
    </w:tbl>
    <w:p>
      <w:pPr>
        <w:keepNext/>
        <w:keepLines w:val="0"/>
        <w:pageBreakBefore/>
        <w:spacing w:before="0" w:after="200" w:line="276" w:lineRule="auto"/>
        <w:jc w:val="left"/>
      </w:pPr>
      <w:r>
        <w:rPr>
          <w:rFonts w:ascii="Times New Roman" w:hAnsi="Times New Roman"/>
          <w:b/>
          <w:color w:val="000000"/>
          <w:sz w:val="24"/>
        </w:rPr>
        <w:t>Work Breakdown Structure</w:t>
      </w:r>
    </w:p>
    <w:p>
      <w:pPr>
        <w:keepNext/>
        <w:keepLines w:val="0"/>
        <w:spacing w:before="0" w:after="120" w:line="276" w:lineRule="auto"/>
        <w:jc w:val="left"/>
      </w:pPr>
      <w:r>
        <w:rPr>
          <w:rFonts w:ascii="Times New Roman" w:hAnsi="Times New Roman"/>
          <w:b/>
          <w:color w:val="000000"/>
          <w:sz w:val="24"/>
        </w:rPr>
        <w:t>3.3 Work Breakdown Structure</w:t>
      </w:r>
    </w:p>
    <w:p>
      <w:pPr>
        <w:keepNext w:val="0"/>
        <w:keepLines w:val="0"/>
        <w:spacing w:before="240" w:after="0" w:line="480" w:lineRule="auto"/>
        <w:jc w:val="both"/>
      </w:pPr>
      <w:r>
        <w:rPr>
          <w:rFonts w:ascii="Times New Roman" w:hAnsi="Times New Roman"/>
          <w:b w:val="0"/>
          <w:color w:val="000000"/>
          <w:sz w:val="24"/>
        </w:rPr>
        <w:t>The work breakdown begins with scope definition: approved local files, supported document types, persistent memory and a browser interface suitable for a nontechnical user. Architectural work then establishes the boundaries between the API, indexing library, SQLite store, Ollama adapter and MCP process. Defining these boundaries early allows persistence and protocol behavior to be checked independently of model output.</w:t>
      </w:r>
    </w:p>
    <w:p>
      <w:pPr>
        <w:keepNext w:val="0"/>
        <w:keepLines w:val="0"/>
        <w:spacing w:before="240" w:after="0" w:line="480" w:lineRule="auto"/>
        <w:jc w:val="both"/>
      </w:pPr>
      <w:r>
        <w:rPr>
          <w:rFonts w:ascii="Times New Roman" w:hAnsi="Times New Roman"/>
          <w:b w:val="0"/>
          <w:color w:val="000000"/>
          <w:sz w:val="24"/>
        </w:rPr>
        <w:t>Implementation proceeds through source validation, bounded readers, parsers and chunking before retrieval and generation. Storage work supplies transactional updates, lexical indexes and project relationships. The MCP server exposes these capabilities through explicit tools. The agent then consumes those tools, while the interface provides source approval, progress information, conversation history and memory management. Platform launchers are a separate deployment task.</w:t>
      </w:r>
    </w:p>
    <w:p>
      <w:pPr>
        <w:keepNext/>
        <w:keepLines w:val="0"/>
        <w:spacing w:before="160" w:after="120" w:line="276" w:lineRule="auto"/>
        <w:jc w:val="center"/>
      </w:pPr>
      <w:r>
        <w:rPr>
          <w:rFonts w:ascii="Times New Roman" w:hAnsi="Times New Roman"/>
          <w:b w:val="0"/>
          <w:color w:val="000000"/>
          <w:sz w:val="22"/>
        </w:rPr>
        <w:t>Table 3.3. Main work packages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2664"/>
        <w:gridCol w:w="5904"/>
      </w:tblGrid>
      <w:tr>
        <w:trPr>
          <w:cantSplit/>
          <w:tblHeader/>
        </w:trPr>
        <w:tc>
          <w:tcPr>
            <w:tcW w:type="dxa" w:w="2664"/>
            <w:vAlign w:val="center"/>
            <w:shd w:fill="EFEFEF"/>
          </w:tcPr>
          <w:p>
            <w:pPr>
              <w:spacing w:before="0" w:after="0" w:line="276" w:lineRule="auto"/>
              <w:jc w:val="left"/>
            </w:pPr>
            <w:r>
              <w:rPr>
                <w:rFonts w:ascii="Times New Roman" w:hAnsi="Times New Roman"/>
                <w:b/>
                <w:color w:val="000000"/>
                <w:sz w:val="22"/>
              </w:rPr>
              <w:t>Package</w:t>
            </w:r>
          </w:p>
        </w:tc>
        <w:tc>
          <w:tcPr>
            <w:tcW w:type="dxa" w:w="5904"/>
            <w:vAlign w:val="center"/>
            <w:shd w:fill="EFEFEF"/>
          </w:tcPr>
          <w:p>
            <w:pPr>
              <w:spacing w:before="0" w:after="0" w:line="276" w:lineRule="auto"/>
              <w:jc w:val="left"/>
            </w:pPr>
            <w:r>
              <w:rPr>
                <w:rFonts w:ascii="Times New Roman" w:hAnsi="Times New Roman"/>
                <w:b/>
                <w:color w:val="000000"/>
                <w:sz w:val="22"/>
              </w:rPr>
              <w:t>Concrete output</w:t>
            </w:r>
          </w:p>
        </w:tc>
      </w:tr>
      <w:tr>
        <w:trPr>
          <w:cantSplit/>
        </w:trPr>
        <w:tc>
          <w:tcPr>
            <w:tcW w:type="dxa" w:w="2664"/>
            <w:vAlign w:val="center"/>
          </w:tcPr>
          <w:p>
            <w:pPr>
              <w:spacing w:before="0" w:after="0" w:line="276" w:lineRule="auto"/>
              <w:jc w:val="left"/>
            </w:pPr>
            <w:r>
              <w:rPr>
                <w:rFonts w:ascii="Times New Roman" w:hAnsi="Times New Roman"/>
                <w:b w:val="0"/>
                <w:color w:val="000000"/>
                <w:sz w:val="22"/>
              </w:rPr>
              <w:t>Requirements and design</w:t>
            </w:r>
          </w:p>
        </w:tc>
        <w:tc>
          <w:tcPr>
            <w:tcW w:type="dxa" w:w="5904"/>
            <w:vAlign w:val="center"/>
          </w:tcPr>
          <w:p>
            <w:pPr>
              <w:spacing w:before="0" w:after="0" w:line="276" w:lineRule="auto"/>
              <w:jc w:val="left"/>
            </w:pPr>
            <w:r>
              <w:rPr>
                <w:rFonts w:ascii="Times New Roman" w:hAnsi="Times New Roman"/>
                <w:b w:val="0"/>
                <w:color w:val="000000"/>
                <w:sz w:val="22"/>
              </w:rPr>
              <w:t>Scope, component boundaries, schema</w:t>
            </w:r>
          </w:p>
        </w:tc>
      </w:tr>
      <w:tr>
        <w:trPr>
          <w:cantSplit/>
        </w:trPr>
        <w:tc>
          <w:tcPr>
            <w:tcW w:type="dxa" w:w="2664"/>
            <w:vAlign w:val="center"/>
          </w:tcPr>
          <w:p>
            <w:pPr>
              <w:spacing w:before="0" w:after="0" w:line="276" w:lineRule="auto"/>
              <w:jc w:val="left"/>
            </w:pPr>
            <w:r>
              <w:rPr>
                <w:rFonts w:ascii="Times New Roman" w:hAnsi="Times New Roman"/>
                <w:b w:val="0"/>
                <w:color w:val="000000"/>
                <w:sz w:val="22"/>
              </w:rPr>
              <w:t>Knowledge processing</w:t>
            </w:r>
          </w:p>
        </w:tc>
        <w:tc>
          <w:tcPr>
            <w:tcW w:type="dxa" w:w="5904"/>
            <w:vAlign w:val="center"/>
          </w:tcPr>
          <w:p>
            <w:pPr>
              <w:spacing w:before="0" w:after="0" w:line="276" w:lineRule="auto"/>
              <w:jc w:val="left"/>
            </w:pPr>
            <w:r>
              <w:rPr>
                <w:rFonts w:ascii="Times New Roman" w:hAnsi="Times New Roman"/>
                <w:b w:val="0"/>
                <w:color w:val="000000"/>
                <w:sz w:val="22"/>
              </w:rPr>
              <w:t>Safe extraction and incremental index</w:t>
            </w:r>
          </w:p>
        </w:tc>
      </w:tr>
      <w:tr>
        <w:trPr>
          <w:cantSplit/>
        </w:trPr>
        <w:tc>
          <w:tcPr>
            <w:tcW w:type="dxa" w:w="2664"/>
            <w:vAlign w:val="center"/>
          </w:tcPr>
          <w:p>
            <w:pPr>
              <w:spacing w:before="0" w:after="0" w:line="276" w:lineRule="auto"/>
              <w:jc w:val="left"/>
            </w:pPr>
            <w:r>
              <w:rPr>
                <w:rFonts w:ascii="Times New Roman" w:hAnsi="Times New Roman"/>
                <w:b w:val="0"/>
                <w:color w:val="000000"/>
                <w:sz w:val="22"/>
              </w:rPr>
              <w:t>Memory and agent</w:t>
            </w:r>
          </w:p>
        </w:tc>
        <w:tc>
          <w:tcPr>
            <w:tcW w:type="dxa" w:w="5904"/>
            <w:vAlign w:val="center"/>
          </w:tcPr>
          <w:p>
            <w:pPr>
              <w:spacing w:before="0" w:after="0" w:line="276" w:lineRule="auto"/>
              <w:jc w:val="left"/>
            </w:pPr>
            <w:r>
              <w:rPr>
                <w:rFonts w:ascii="Times New Roman" w:hAnsi="Times New Roman"/>
                <w:b w:val="0"/>
                <w:color w:val="000000"/>
                <w:sz w:val="22"/>
              </w:rPr>
              <w:t>MCP tools and bounded execution</w:t>
            </w:r>
          </w:p>
        </w:tc>
      </w:tr>
      <w:tr>
        <w:trPr>
          <w:cantSplit/>
        </w:trPr>
        <w:tc>
          <w:tcPr>
            <w:tcW w:type="dxa" w:w="2664"/>
            <w:vAlign w:val="center"/>
          </w:tcPr>
          <w:p>
            <w:pPr>
              <w:spacing w:before="0" w:after="0" w:line="276" w:lineRule="auto"/>
              <w:jc w:val="left"/>
            </w:pPr>
            <w:r>
              <w:rPr>
                <w:rFonts w:ascii="Times New Roman" w:hAnsi="Times New Roman"/>
                <w:b w:val="0"/>
                <w:color w:val="000000"/>
                <w:sz w:val="22"/>
              </w:rPr>
              <w:t>Application and deployment</w:t>
            </w:r>
          </w:p>
        </w:tc>
        <w:tc>
          <w:tcPr>
            <w:tcW w:type="dxa" w:w="5904"/>
            <w:vAlign w:val="center"/>
          </w:tcPr>
          <w:p>
            <w:pPr>
              <w:spacing w:before="0" w:after="0" w:line="276" w:lineRule="auto"/>
              <w:jc w:val="left"/>
            </w:pPr>
            <w:r>
              <w:rPr>
                <w:rFonts w:ascii="Times New Roman" w:hAnsi="Times New Roman"/>
                <w:b w:val="0"/>
                <w:color w:val="000000"/>
                <w:sz w:val="22"/>
              </w:rPr>
              <w:t>Browser interface and local launchers</w:t>
            </w:r>
          </w:p>
        </w:tc>
      </w:tr>
      <w:tr>
        <w:trPr>
          <w:cantSplit/>
        </w:trPr>
        <w:tc>
          <w:tcPr>
            <w:tcW w:type="dxa" w:w="2664"/>
            <w:vAlign w:val="center"/>
          </w:tcPr>
          <w:p>
            <w:pPr>
              <w:spacing w:before="0" w:after="0" w:line="276" w:lineRule="auto"/>
              <w:jc w:val="left"/>
            </w:pPr>
            <w:r>
              <w:rPr>
                <w:rFonts w:ascii="Times New Roman" w:hAnsi="Times New Roman"/>
                <w:b w:val="0"/>
                <w:color w:val="000000"/>
                <w:sz w:val="22"/>
              </w:rPr>
              <w:t>Validation and reporting</w:t>
            </w:r>
          </w:p>
        </w:tc>
        <w:tc>
          <w:tcPr>
            <w:tcW w:type="dxa" w:w="5904"/>
            <w:vAlign w:val="center"/>
          </w:tcPr>
          <w:p>
            <w:pPr>
              <w:spacing w:before="0" w:after="0" w:line="276" w:lineRule="auto"/>
              <w:jc w:val="left"/>
            </w:pPr>
            <w:r>
              <w:rPr>
                <w:rFonts w:ascii="Times New Roman" w:hAnsi="Times New Roman"/>
                <w:b w:val="0"/>
                <w:color w:val="000000"/>
                <w:sz w:val="22"/>
              </w:rPr>
              <w:t>Tests, benchmark records and analysis</w:t>
            </w:r>
          </w:p>
        </w:tc>
      </w:tr>
    </w:tbl>
    <w:p>
      <w:pPr>
        <w:keepNext/>
        <w:keepLines w:val="0"/>
        <w:pageBreakBefore/>
        <w:spacing w:before="0" w:after="200" w:line="276" w:lineRule="auto"/>
        <w:jc w:val="left"/>
      </w:pPr>
      <w:r>
        <w:rPr>
          <w:rFonts w:ascii="Times New Roman" w:hAnsi="Times New Roman"/>
          <w:b/>
          <w:color w:val="000000"/>
          <w:sz w:val="24"/>
        </w:rPr>
        <w:t>Functional Requirements: Sources and Retrieval</w:t>
      </w:r>
    </w:p>
    <w:p>
      <w:pPr>
        <w:keepNext/>
        <w:keepLines w:val="0"/>
        <w:spacing w:before="0" w:after="120" w:line="276" w:lineRule="auto"/>
        <w:jc w:val="left"/>
      </w:pPr>
      <w:r>
        <w:rPr>
          <w:rFonts w:ascii="Times New Roman" w:hAnsi="Times New Roman"/>
          <w:b/>
          <w:color w:val="000000"/>
          <w:sz w:val="24"/>
        </w:rPr>
        <w:t>3.4 Functional Requirements</w:t>
      </w:r>
    </w:p>
    <w:p>
      <w:pPr>
        <w:keepNext w:val="0"/>
        <w:keepLines w:val="0"/>
        <w:spacing w:before="240" w:after="0" w:line="480" w:lineRule="auto"/>
        <w:jc w:val="both"/>
      </w:pPr>
      <w:r>
        <w:rPr>
          <w:rFonts w:ascii="Times New Roman" w:hAnsi="Times New Roman"/>
          <w:b w:val="0"/>
          <w:color w:val="000000"/>
          <w:sz w:val="24"/>
        </w:rPr>
        <w:t>The first functional requirement is explicit source approval. The user selects an existing folder on a local disk, and the application records that scope before indexing. The scanner must reject protected or overlapping roots and avoid symbolic links, excluded directories and known secret filenames. Removing an approved source must remove its associated indexed documents through the stored ownership relationship.</w:t>
      </w:r>
    </w:p>
    <w:p>
      <w:pPr>
        <w:keepNext w:val="0"/>
        <w:keepLines w:val="0"/>
        <w:spacing w:before="240" w:after="0" w:line="480" w:lineRule="auto"/>
        <w:jc w:val="both"/>
      </w:pPr>
      <w:r>
        <w:rPr>
          <w:rFonts w:ascii="Times New Roman" w:hAnsi="Times New Roman"/>
          <w:b w:val="0"/>
          <w:color w:val="000000"/>
          <w:sz w:val="24"/>
        </w:rPr>
        <w:t>The second requirement is useful extraction from supported files. Text, Markdown and code are decoded as text; PDFs and DOCX files are processed through their supported extraction paths. Successful extraction produces a complete stored text snapshot and bounded passages with exact character offsets. A rescan must update changed files, preserve valid unchanged work and remove absent documents only after a complete traversal.</w:t>
      </w:r>
    </w:p>
    <w:p>
      <w:pPr>
        <w:keepNext w:val="0"/>
        <w:keepLines w:val="0"/>
        <w:spacing w:before="240" w:after="0" w:line="480" w:lineRule="auto"/>
        <w:jc w:val="both"/>
      </w:pPr>
      <w:r>
        <w:rPr>
          <w:rFonts w:ascii="Times New Roman" w:hAnsi="Times New Roman"/>
          <w:b w:val="0"/>
          <w:color w:val="000000"/>
          <w:sz w:val="24"/>
        </w:rPr>
        <w:t>The third requirement is retrieval with inspectable provenance. A query may combine lexical and semantic candidates, but every returned passage must identify its document and location metadata. Before delivery, the application checks that the source still belongs to an approved root and matches its indexed size and modification time. Document browsing and paginated extraction reads allow the user to inspect evidence beyond a short answer.</w:t>
      </w:r>
    </w:p>
    <w:p>
      <w:pPr>
        <w:keepNext/>
        <w:keepLines w:val="0"/>
        <w:pageBreakBefore/>
        <w:spacing w:before="0" w:after="200" w:line="276" w:lineRule="auto"/>
        <w:jc w:val="left"/>
      </w:pPr>
      <w:r>
        <w:rPr>
          <w:rFonts w:ascii="Times New Roman" w:hAnsi="Times New Roman"/>
          <w:b/>
          <w:color w:val="000000"/>
          <w:sz w:val="24"/>
        </w:rPr>
        <w:t>Functional Requirements: Memory and Assistance</w:t>
      </w:r>
    </w:p>
    <w:p>
      <w:pPr>
        <w:keepNext/>
        <w:keepLines w:val="0"/>
        <w:spacing w:before="0" w:after="120" w:line="276" w:lineRule="auto"/>
        <w:jc w:val="left"/>
      </w:pPr>
      <w:r>
        <w:rPr>
          <w:rFonts w:ascii="Times New Roman" w:hAnsi="Times New Roman"/>
          <w:b/>
          <w:color w:val="000000"/>
          <w:sz w:val="24"/>
        </w:rPr>
        <w:t>3.4 Functional Requirements — continued</w:t>
      </w:r>
    </w:p>
    <w:p>
      <w:pPr>
        <w:keepNext w:val="0"/>
        <w:keepLines w:val="0"/>
        <w:spacing w:before="240" w:after="0" w:line="480" w:lineRule="auto"/>
        <w:jc w:val="both"/>
      </w:pPr>
      <w:r>
        <w:rPr>
          <w:rFonts w:ascii="Times New Roman" w:hAnsi="Times New Roman"/>
          <w:b w:val="0"/>
          <w:color w:val="000000"/>
          <w:sz w:val="24"/>
        </w:rPr>
        <w:t>Persistent assistance requires more than document search. Users must be able to create, edit and delete explicit memories, optionally associate them with projects and retrieve them in later conversations. A memory edit retains its identifier and original creation time. Sessions and messages persist conversation content, citations and execution traces, allowing relevant user and assistant messages to be searched across saved chats.</w:t>
      </w:r>
    </w:p>
    <w:p>
      <w:pPr>
        <w:keepNext w:val="0"/>
        <w:keepLines w:val="0"/>
        <w:spacing w:before="240" w:after="0" w:line="480" w:lineRule="auto"/>
        <w:jc w:val="both"/>
      </w:pPr>
      <w:r>
        <w:rPr>
          <w:rFonts w:ascii="Times New Roman" w:hAnsi="Times New Roman"/>
          <w:b w:val="0"/>
          <w:color w:val="000000"/>
          <w:sz w:val="24"/>
        </w:rPr>
        <w:t>The assistant must retrieve local evidence before ordinary generated answers and provide an extractive mode when a usable chat model is unavailable. It may request additional read-only MCP tools within configured limits. Whole-document summarization must follow all stored extraction pages rather than substitute a few search hits. Project assistance must create an editable plan associated with a project, while keeping generated output inside the application data directory.</w:t>
      </w:r>
    </w:p>
    <w:p>
      <w:pPr>
        <w:keepNext w:val="0"/>
        <w:keepLines w:val="0"/>
        <w:spacing w:before="240" w:after="0" w:line="480" w:lineRule="auto"/>
        <w:jc w:val="both"/>
      </w:pPr>
      <w:r>
        <w:rPr>
          <w:rFonts w:ascii="Times New Roman" w:hAnsi="Times New Roman"/>
          <w:b w:val="0"/>
          <w:color w:val="000000"/>
          <w:sz w:val="24"/>
        </w:rPr>
        <w:t>These requirements have practical boundaries. Projects organize memories and conversations; they do not create separate filesystem permissions for each project. Planning writes one PLAN.md file and does not generate, compile or execute a software repository. Similarly, the implemented tool loop provides capability for additional retrieval, but the fresh benchmark observed no additional model-selected tool calls. Functional availability and demonstrated model behavior are reported separately.</w:t>
      </w:r>
    </w:p>
    <w:p>
      <w:pPr>
        <w:keepNext/>
        <w:keepLines w:val="0"/>
        <w:pageBreakBefore/>
        <w:spacing w:before="0" w:after="200" w:line="276" w:lineRule="auto"/>
        <w:jc w:val="left"/>
      </w:pPr>
      <w:r>
        <w:rPr>
          <w:rFonts w:ascii="Times New Roman" w:hAnsi="Times New Roman"/>
          <w:b/>
          <w:color w:val="000000"/>
          <w:sz w:val="24"/>
        </w:rPr>
        <w:t>Non Functional Requirements</w:t>
      </w:r>
    </w:p>
    <w:p>
      <w:pPr>
        <w:keepNext/>
        <w:keepLines w:val="0"/>
        <w:spacing w:before="0" w:after="120" w:line="276" w:lineRule="auto"/>
        <w:jc w:val="left"/>
      </w:pPr>
      <w:r>
        <w:rPr>
          <w:rFonts w:ascii="Times New Roman" w:hAnsi="Times New Roman"/>
          <w:b/>
          <w:color w:val="000000"/>
          <w:sz w:val="24"/>
        </w:rPr>
        <w:t>3.5 Non Functional Requirements</w:t>
      </w:r>
    </w:p>
    <w:p>
      <w:pPr>
        <w:keepNext w:val="0"/>
        <w:keepLines w:val="0"/>
        <w:spacing w:before="240" w:after="0" w:line="480" w:lineRule="auto"/>
        <w:jc w:val="both"/>
      </w:pPr>
      <w:r>
        <w:rPr>
          <w:rFonts w:ascii="Times New Roman" w:hAnsi="Times New Roman"/>
          <w:b w:val="0"/>
          <w:color w:val="000000"/>
          <w:sz w:val="24"/>
        </w:rPr>
        <w:t>Privacy is a deployment property supported by explicit technical boundaries. In the normal local interface, document extraction, embeddings, inference and persistence remain on the laptop. Ollama endpoints are limited to HTTP loopback addresses, redirects are disabled and proxy environment variables are ignored by the adapter. Downloading dependencies or models is an initial network activity and must be distinguished from later document processing.</w:t>
      </w:r>
    </w:p>
    <w:p>
      <w:pPr>
        <w:keepNext w:val="0"/>
        <w:keepLines w:val="0"/>
        <w:spacing w:before="240" w:after="0" w:line="480" w:lineRule="auto"/>
        <w:jc w:val="both"/>
      </w:pPr>
      <w:r>
        <w:rPr>
          <w:rFonts w:ascii="Times New Roman" w:hAnsi="Times New Roman"/>
          <w:b w:val="0"/>
          <w:color w:val="000000"/>
          <w:sz w:val="24"/>
        </w:rPr>
        <w:t>Reliability requires durable transactions and visible failure behavior. SQLite foreign keys preserve ownership relationships, while write-ahead logging supports the API and MCP processes sharing one database. Failed document replacement rolls back instead of leaving partial chunks. Resource limits bound file reads, extracted text, scan candidates, passage size and agent execution. Embedding failure leaves lexical indexing available; unsupported or unreadable documents produce explicit errors.</w:t>
      </w:r>
    </w:p>
    <w:p>
      <w:pPr>
        <w:keepNext w:val="0"/>
        <w:keepLines w:val="0"/>
        <w:spacing w:before="240" w:after="0" w:line="480" w:lineRule="auto"/>
        <w:jc w:val="both"/>
      </w:pPr>
      <w:r>
        <w:rPr>
          <w:rFonts w:ascii="Times New Roman" w:hAnsi="Times New Roman"/>
          <w:b w:val="0"/>
          <w:color w:val="000000"/>
          <w:sz w:val="24"/>
        </w:rPr>
        <w:t>Usability requires understandable progress, source citations and editable memory rather than hidden state. Maintainability requires clear modules and repeatable tests. Security remains limited to a trusted local-user setting: the prototype has no application authentication, encrypted database or operating-system sandbox. Other local processes can access the same files or loopback service. These residual risks must be documented without treating local execution alone as complete security.</w:t>
      </w:r>
    </w:p>
    <w:p>
      <w:pPr>
        <w:keepNext/>
        <w:keepLines w:val="0"/>
        <w:pageBreakBefore/>
        <w:spacing w:before="0" w:after="200" w:line="276" w:lineRule="auto"/>
        <w:jc w:val="left"/>
      </w:pPr>
      <w:r>
        <w:rPr>
          <w:rFonts w:ascii="Times New Roman" w:hAnsi="Times New Roman"/>
          <w:b/>
          <w:color w:val="000000"/>
          <w:sz w:val="24"/>
        </w:rPr>
        <w:t>Project Cost Estimation</w:t>
      </w:r>
    </w:p>
    <w:p>
      <w:pPr>
        <w:keepNext/>
        <w:keepLines w:val="0"/>
        <w:spacing w:before="0" w:after="120" w:line="276" w:lineRule="auto"/>
        <w:jc w:val="left"/>
      </w:pPr>
      <w:r>
        <w:rPr>
          <w:rFonts w:ascii="Times New Roman" w:hAnsi="Times New Roman"/>
          <w:b/>
          <w:color w:val="000000"/>
          <w:sz w:val="24"/>
        </w:rPr>
        <w:t>3.6 Project Cost Estimation</w:t>
      </w:r>
    </w:p>
    <w:p>
      <w:pPr>
        <w:keepNext w:val="0"/>
        <w:keepLines w:val="0"/>
        <w:spacing w:before="240" w:after="0" w:line="480" w:lineRule="auto"/>
        <w:jc w:val="both"/>
      </w:pPr>
      <w:r>
        <w:rPr>
          <w:rFonts w:ascii="Times New Roman" w:hAnsi="Times New Roman"/>
          <w:b w:val="0"/>
          <w:color w:val="000000"/>
          <w:sz w:val="24"/>
        </w:rPr>
        <w:t>LocalMind avoids recurring charges to a hosted inference API by using installed open-source components and downloaded local models. The proposed deployment reuses the student laptop and its existing storage. Under that assumption, the additional hardware purchase cost can be zero. This statement concerns incremental project expenditure; it does not imply that computing hardware, electricity, internet access or development effort are free.</w:t>
      </w:r>
    </w:p>
    <w:p>
      <w:pPr>
        <w:keepNext w:val="0"/>
        <w:keepLines w:val="0"/>
        <w:spacing w:before="240" w:after="0" w:line="480" w:lineRule="auto"/>
        <w:jc w:val="both"/>
      </w:pPr>
      <w:r>
        <w:rPr>
          <w:rFonts w:ascii="Times New Roman" w:hAnsi="Times New Roman"/>
          <w:b w:val="0"/>
          <w:color w:val="000000"/>
          <w:sz w:val="24"/>
        </w:rPr>
        <w:t>A transparent estimate separates fixed resources from variable operating costs. Storage must accommodate model weights, extracted document text, passage records, full-text indexes and vectors. Electricity cost can be calculated from measured average power, operating hours and the local tariff. Network expenditure depends on the initial downloads and future updates. No power measurement or market-price survey was conducted in the reported benchmark, so numerical estimates for these items would be unsupported.</w:t>
      </w:r>
    </w:p>
    <w:p>
      <w:pPr>
        <w:keepNext/>
        <w:keepLines w:val="0"/>
        <w:spacing w:before="160" w:after="120" w:line="276" w:lineRule="auto"/>
        <w:jc w:val="center"/>
      </w:pPr>
      <w:r>
        <w:rPr>
          <w:rFonts w:ascii="Times New Roman" w:hAnsi="Times New Roman"/>
          <w:b w:val="0"/>
          <w:color w:val="000000"/>
          <w:sz w:val="22"/>
        </w:rPr>
        <w:t>Table 3.4. Cost categories and estimation basis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2664"/>
        <w:gridCol w:w="5904"/>
      </w:tblGrid>
      <w:tr>
        <w:trPr>
          <w:cantSplit/>
          <w:tblHeader/>
        </w:trPr>
        <w:tc>
          <w:tcPr>
            <w:tcW w:type="dxa" w:w="2664"/>
            <w:vAlign w:val="center"/>
            <w:shd w:fill="EFEFEF"/>
          </w:tcPr>
          <w:p>
            <w:pPr>
              <w:spacing w:before="0" w:after="0" w:line="276" w:lineRule="auto"/>
              <w:jc w:val="left"/>
            </w:pPr>
            <w:r>
              <w:rPr>
                <w:rFonts w:ascii="Times New Roman" w:hAnsi="Times New Roman"/>
                <w:b/>
                <w:color w:val="000000"/>
                <w:sz w:val="22"/>
              </w:rPr>
              <w:t>Category</w:t>
            </w:r>
          </w:p>
        </w:tc>
        <w:tc>
          <w:tcPr>
            <w:tcW w:type="dxa" w:w="5904"/>
            <w:vAlign w:val="center"/>
            <w:shd w:fill="EFEFEF"/>
          </w:tcPr>
          <w:p>
            <w:pPr>
              <w:spacing w:before="0" w:after="0" w:line="276" w:lineRule="auto"/>
              <w:jc w:val="left"/>
            </w:pPr>
            <w:r>
              <w:rPr>
                <w:rFonts w:ascii="Times New Roman" w:hAnsi="Times New Roman"/>
                <w:b/>
                <w:color w:val="000000"/>
                <w:sz w:val="22"/>
              </w:rPr>
              <w:t>Estimation basis</w:t>
            </w:r>
          </w:p>
        </w:tc>
      </w:tr>
      <w:tr>
        <w:trPr>
          <w:cantSplit/>
        </w:trPr>
        <w:tc>
          <w:tcPr>
            <w:tcW w:type="dxa" w:w="2664"/>
            <w:vAlign w:val="center"/>
          </w:tcPr>
          <w:p>
            <w:pPr>
              <w:spacing w:before="0" w:after="0" w:line="276" w:lineRule="auto"/>
              <w:jc w:val="left"/>
            </w:pPr>
            <w:r>
              <w:rPr>
                <w:rFonts w:ascii="Times New Roman" w:hAnsi="Times New Roman"/>
                <w:b w:val="0"/>
                <w:color w:val="000000"/>
                <w:sz w:val="22"/>
              </w:rPr>
              <w:t>Inference API</w:t>
            </w:r>
          </w:p>
        </w:tc>
        <w:tc>
          <w:tcPr>
            <w:tcW w:type="dxa" w:w="5904"/>
            <w:vAlign w:val="center"/>
          </w:tcPr>
          <w:p>
            <w:pPr>
              <w:spacing w:before="0" w:after="0" w:line="276" w:lineRule="auto"/>
              <w:jc w:val="left"/>
            </w:pPr>
            <w:r>
              <w:rPr>
                <w:rFonts w:ascii="Times New Roman" w:hAnsi="Times New Roman"/>
                <w:b w:val="0"/>
                <w:color w:val="000000"/>
                <w:sz w:val="22"/>
              </w:rPr>
              <w:t>No paid hosted API required</w:t>
            </w:r>
          </w:p>
        </w:tc>
      </w:tr>
      <w:tr>
        <w:trPr>
          <w:cantSplit/>
        </w:trPr>
        <w:tc>
          <w:tcPr>
            <w:tcW w:type="dxa" w:w="2664"/>
            <w:vAlign w:val="center"/>
          </w:tcPr>
          <w:p>
            <w:pPr>
              <w:spacing w:before="0" w:after="0" w:line="276" w:lineRule="auto"/>
              <w:jc w:val="left"/>
            </w:pPr>
            <w:r>
              <w:rPr>
                <w:rFonts w:ascii="Times New Roman" w:hAnsi="Times New Roman"/>
                <w:b w:val="0"/>
                <w:color w:val="000000"/>
                <w:sz w:val="22"/>
              </w:rPr>
              <w:t>Existing laptop</w:t>
            </w:r>
          </w:p>
        </w:tc>
        <w:tc>
          <w:tcPr>
            <w:tcW w:type="dxa" w:w="5904"/>
            <w:vAlign w:val="center"/>
          </w:tcPr>
          <w:p>
            <w:pPr>
              <w:spacing w:before="0" w:after="0" w:line="276" w:lineRule="auto"/>
              <w:jc w:val="left"/>
            </w:pPr>
            <w:r>
              <w:rPr>
                <w:rFonts w:ascii="Times New Roman" w:hAnsi="Times New Roman"/>
                <w:b w:val="0"/>
                <w:color w:val="000000"/>
                <w:sz w:val="22"/>
              </w:rPr>
              <w:t>No additional purchase assumed</w:t>
            </w:r>
          </w:p>
        </w:tc>
      </w:tr>
      <w:tr>
        <w:trPr>
          <w:cantSplit/>
        </w:trPr>
        <w:tc>
          <w:tcPr>
            <w:tcW w:type="dxa" w:w="2664"/>
            <w:vAlign w:val="center"/>
          </w:tcPr>
          <w:p>
            <w:pPr>
              <w:spacing w:before="0" w:after="0" w:line="276" w:lineRule="auto"/>
              <w:jc w:val="left"/>
            </w:pPr>
            <w:r>
              <w:rPr>
                <w:rFonts w:ascii="Times New Roman" w:hAnsi="Times New Roman"/>
                <w:b w:val="0"/>
                <w:color w:val="000000"/>
                <w:sz w:val="22"/>
              </w:rPr>
              <w:t>Electricity</w:t>
            </w:r>
          </w:p>
        </w:tc>
        <w:tc>
          <w:tcPr>
            <w:tcW w:type="dxa" w:w="5904"/>
            <w:vAlign w:val="center"/>
          </w:tcPr>
          <w:p>
            <w:pPr>
              <w:spacing w:before="0" w:after="0" w:line="276" w:lineRule="auto"/>
              <w:jc w:val="left"/>
            </w:pPr>
            <w:r>
              <w:rPr>
                <w:rFonts w:ascii="Times New Roman" w:hAnsi="Times New Roman"/>
                <w:b w:val="0"/>
                <w:color w:val="000000"/>
                <w:sz w:val="22"/>
              </w:rPr>
              <w:t>kW × operating hours × local tariff</w:t>
            </w:r>
          </w:p>
        </w:tc>
      </w:tr>
      <w:tr>
        <w:trPr>
          <w:cantSplit/>
        </w:trPr>
        <w:tc>
          <w:tcPr>
            <w:tcW w:type="dxa" w:w="2664"/>
            <w:vAlign w:val="center"/>
          </w:tcPr>
          <w:p>
            <w:pPr>
              <w:spacing w:before="0" w:after="0" w:line="276" w:lineRule="auto"/>
              <w:jc w:val="left"/>
            </w:pPr>
            <w:r>
              <w:rPr>
                <w:rFonts w:ascii="Times New Roman" w:hAnsi="Times New Roman"/>
                <w:b w:val="0"/>
                <w:color w:val="000000"/>
                <w:sz w:val="22"/>
              </w:rPr>
              <w:t>Storage / downloads</w:t>
            </w:r>
          </w:p>
        </w:tc>
        <w:tc>
          <w:tcPr>
            <w:tcW w:type="dxa" w:w="5904"/>
            <w:vAlign w:val="center"/>
          </w:tcPr>
          <w:p>
            <w:pPr>
              <w:spacing w:before="0" w:after="0" w:line="276" w:lineRule="auto"/>
              <w:jc w:val="left"/>
            </w:pPr>
            <w:r>
              <w:rPr>
                <w:rFonts w:ascii="Times New Roman" w:hAnsi="Times New Roman"/>
                <w:b w:val="0"/>
                <w:color w:val="000000"/>
                <w:sz w:val="22"/>
              </w:rPr>
              <w:t>Actual capacity and connection usage</w:t>
            </w:r>
          </w:p>
        </w:tc>
      </w:tr>
      <w:tr>
        <w:trPr>
          <w:cantSplit/>
        </w:trPr>
        <w:tc>
          <w:tcPr>
            <w:tcW w:type="dxa" w:w="2664"/>
            <w:vAlign w:val="center"/>
          </w:tcPr>
          <w:p>
            <w:pPr>
              <w:spacing w:before="0" w:after="0" w:line="276" w:lineRule="auto"/>
              <w:jc w:val="left"/>
            </w:pPr>
            <w:r>
              <w:rPr>
                <w:rFonts w:ascii="Times New Roman" w:hAnsi="Times New Roman"/>
                <w:b w:val="0"/>
                <w:color w:val="000000"/>
                <w:sz w:val="22"/>
              </w:rPr>
              <w:t>Maintenance</w:t>
            </w:r>
          </w:p>
        </w:tc>
        <w:tc>
          <w:tcPr>
            <w:tcW w:type="dxa" w:w="5904"/>
            <w:vAlign w:val="center"/>
          </w:tcPr>
          <w:p>
            <w:pPr>
              <w:spacing w:before="0" w:after="0" w:line="276" w:lineRule="auto"/>
              <w:jc w:val="left"/>
            </w:pPr>
            <w:r>
              <w:rPr>
                <w:rFonts w:ascii="Times New Roman" w:hAnsi="Times New Roman"/>
                <w:b w:val="0"/>
                <w:color w:val="000000"/>
                <w:sz w:val="22"/>
              </w:rPr>
              <w:t>Student or user time; not measured</w:t>
            </w:r>
          </w:p>
        </w:tc>
      </w:tr>
    </w:tbl>
    <w:p>
      <w:pPr>
        <w:keepNext/>
        <w:keepLines w:val="0"/>
        <w:pageBreakBefore/>
        <w:spacing w:before="0" w:after="160" w:line="276" w:lineRule="auto"/>
        <w:jc w:val="center"/>
      </w:pPr>
      <w:r>
        <w:rPr>
          <w:rFonts w:ascii="Times New Roman" w:hAnsi="Times New Roman"/>
          <w:b/>
          <w:color w:val="000000"/>
          <w:sz w:val="32"/>
        </w:rPr>
        <w:t>Chapter 4</w:t>
      </w:r>
    </w:p>
    <w:p>
      <w:pPr>
        <w:keepNext/>
        <w:keepLines w:val="0"/>
        <w:spacing w:before="0" w:after="240" w:line="360" w:lineRule="auto"/>
        <w:jc w:val="center"/>
      </w:pPr>
      <w:r>
        <w:rPr>
          <w:rFonts w:ascii="Times New Roman" w:hAnsi="Times New Roman"/>
          <w:b/>
          <w:color w:val="000000"/>
          <w:sz w:val="32"/>
        </w:rPr>
        <w:t>Methodology</w:t>
      </w:r>
    </w:p>
    <w:p>
      <w:pPr>
        <w:keepNext/>
        <w:keepLines w:val="0"/>
        <w:spacing w:before="0" w:after="200" w:line="276" w:lineRule="auto"/>
        <w:jc w:val="left"/>
      </w:pPr>
      <w:r>
        <w:rPr>
          <w:rFonts w:ascii="Times New Roman" w:hAnsi="Times New Roman"/>
          <w:b/>
          <w:color w:val="000000"/>
          <w:sz w:val="24"/>
        </w:rPr>
        <w:t>4.1 System Architecture and Data Model</w:t>
      </w:r>
    </w:p>
    <w:p>
      <w:pPr>
        <w:keepNext w:val="0"/>
        <w:keepLines w:val="0"/>
        <w:spacing w:before="240" w:after="0" w:line="480" w:lineRule="auto"/>
        <w:jc w:val="both"/>
      </w:pPr>
      <w:r>
        <w:rPr>
          <w:rFonts w:ascii="Times New Roman" w:hAnsi="Times New Roman"/>
          <w:b w:val="0"/>
          <w:color w:val="000000"/>
          <w:sz w:val="24"/>
        </w:rPr>
        <w:t>The methodology separates deterministic knowledge handling from probabilistic language generation. Approved documents enter a controlled extraction and indexing pipeline. SQLite stores their text, metadata and vectors. A separate MCP server exposes retrieval and memory operations, while the agent uses those operations to assemble evidence for a local model. The browser interface provides the human point of control over approved sources and explicit memory.</w:t>
      </w:r>
    </w:p>
    <w:p>
      <w:pPr>
        <w:keepNext w:val="0"/>
        <w:keepLines w:val="0"/>
        <w:spacing w:before="240" w:after="0" w:line="480" w:lineRule="auto"/>
        <w:jc w:val="both"/>
      </w:pPr>
      <w:r>
        <w:rPr>
          <w:rFonts w:ascii="Times New Roman" w:hAnsi="Times New Roman"/>
          <w:b w:val="0"/>
          <w:color w:val="000000"/>
          <w:sz w:val="24"/>
        </w:rPr>
        <w:t>Browser requests use loopback HTTP; agent knowledge operations use a separate MCP stdio process. Chat and embedding requests reach the locally installed Ollama runtime. Source originals remain in approved folders.</w:t>
      </w:r>
    </w:p>
    <w:p>
      <w:pPr>
        <w:keepNext/>
        <w:keepLines w:val="0"/>
        <w:spacing w:before="160" w:after="0" w:line="240" w:lineRule="auto"/>
        <w:jc w:val="center"/>
      </w:pPr>
      <w:r>
        <w:rPr>
          <w:rFonts w:ascii="Times New Roman" w:hAnsi="Times New Roman"/>
          <w:b w:val="0"/>
          <w:color w:val="000000"/>
          <w:sz w:val="24"/>
        </w:rPr>
      </w:r>
      <w:r>
        <w:drawing>
          <wp:inline xmlns:a="http://schemas.openxmlformats.org/drawingml/2006/main" xmlns:pic="http://schemas.openxmlformats.org/drawingml/2006/picture">
            <wp:extent cx="5303520" cy="3712464"/>
            <wp:docPr id="15" name="Picture 15"/>
            <wp:cNvGraphicFramePr>
              <a:graphicFrameLocks noChangeAspect="1"/>
            </wp:cNvGraphicFramePr>
            <a:graphic>
              <a:graphicData uri="http://schemas.openxmlformats.org/drawingml/2006/picture">
                <pic:pic>
                  <pic:nvPicPr>
                    <pic:cNvPr id="0" name="architecture.png"/>
                    <pic:cNvPicPr/>
                  </pic:nvPicPr>
                  <pic:blipFill>
                    <a:blip r:embed="rId15"/>
                    <a:stretch>
                      <a:fillRect/>
                    </a:stretch>
                  </pic:blipFill>
                  <pic:spPr>
                    <a:xfrm>
                      <a:off x="0" y="0"/>
                      <a:ext cx="5303520" cy="3712464"/>
                    </a:xfrm>
                    <a:prstGeom prst="rect"/>
                  </pic:spPr>
                </pic:pic>
              </a:graphicData>
            </a:graphic>
          </wp:inline>
        </w:drawing>
      </w:r>
    </w:p>
    <w:p>
      <w:pPr>
        <w:keepNext w:val="0"/>
        <w:keepLines w:val="0"/>
        <w:spacing w:before="80" w:after="80" w:line="276" w:lineRule="auto"/>
        <w:jc w:val="center"/>
      </w:pPr>
      <w:r>
        <w:rPr>
          <w:rFonts w:ascii="Times New Roman" w:hAnsi="Times New Roman"/>
          <w:b w:val="0"/>
          <w:color w:val="000000"/>
          <w:sz w:val="22"/>
        </w:rPr>
        <w:t>Figure 4.1 Local processing and MCP architecture</w:t>
      </w:r>
    </w:p>
    <w:p>
      <w:pPr>
        <w:keepNext/>
        <w:keepLines w:val="0"/>
        <w:pageBreakBefore/>
        <w:spacing w:before="0" w:after="200" w:line="276" w:lineRule="auto"/>
        <w:jc w:val="left"/>
      </w:pPr>
      <w:r>
        <w:rPr>
          <w:rFonts w:ascii="Times New Roman" w:hAnsi="Times New Roman"/>
          <w:b/>
          <w:color w:val="000000"/>
          <w:sz w:val="24"/>
        </w:rPr>
        <w:t>4.1.1 User interface and data flow</w:t>
      </w:r>
    </w:p>
    <w:p>
      <w:pPr>
        <w:keepNext w:val="0"/>
        <w:keepLines w:val="0"/>
        <w:spacing w:before="240" w:after="0" w:line="480" w:lineRule="auto"/>
        <w:jc w:val="both"/>
      </w:pPr>
      <w:r>
        <w:rPr>
          <w:rFonts w:ascii="Times New Roman" w:hAnsi="Times New Roman"/>
          <w:b w:val="0"/>
          <w:color w:val="000000"/>
          <w:sz w:val="24"/>
        </w:rPr>
        <w:t>The interface has five main areas: Copilot, Library, Memory, Projects and Settings. Library connects an explicitly chosen folder and opens extracted documents. Memory stores selected facts. Projects organize a workspace and its persistent notes; Settings confirms installed local models. Copilot combines a conversation with retrieved evidence and an inspectable tool trace.</w:t>
      </w:r>
    </w:p>
    <w:p>
      <w:pPr>
        <w:keepNext w:val="0"/>
        <w:keepLines w:val="0"/>
        <w:spacing w:before="240" w:after="0" w:line="480" w:lineRule="auto"/>
        <w:jc w:val="both"/>
      </w:pPr>
      <w:r>
        <w:rPr>
          <w:rFonts w:ascii="Times New Roman" w:hAnsi="Times New Roman"/>
          <w:b w:val="0"/>
          <w:color w:val="000000"/>
          <w:sz w:val="24"/>
        </w:rPr>
        <w:t>The screenshot shows the isolated Lighthouse rehearsal, using only the two supplied example files. It is interface evidence rather than a replacement for the controlled accuracy experiment. A source card can be opened to verify a claim against the reader. The demonstration guide gives exact navigation and recovery steps.</w:t>
      </w:r>
    </w:p>
    <w:p>
      <w:pPr>
        <w:keepNext/>
        <w:keepLines w:val="0"/>
        <w:spacing w:before="160" w:after="0" w:line="240" w:lineRule="auto"/>
        <w:jc w:val="center"/>
      </w:pPr>
      <w:r>
        <w:rPr>
          <w:rFonts w:ascii="Times New Roman" w:hAnsi="Times New Roman"/>
          <w:b w:val="0"/>
          <w:color w:val="000000"/>
          <w:sz w:val="24"/>
        </w:rPr>
      </w:r>
      <w:r>
        <w:drawing>
          <wp:inline xmlns:a="http://schemas.openxmlformats.org/drawingml/2006/main" xmlns:pic="http://schemas.openxmlformats.org/drawingml/2006/picture">
            <wp:extent cx="5303520" cy="4335302"/>
            <wp:docPr id="16" name="Picture 16"/>
            <wp:cNvGraphicFramePr>
              <a:graphicFrameLocks noChangeAspect="1"/>
            </wp:cNvGraphicFramePr>
            <a:graphic>
              <a:graphicData uri="http://schemas.openxmlformats.org/drawingml/2006/picture">
                <pic:pic>
                  <pic:nvPicPr>
                    <pic:cNvPr id="0" name="library-demo.png"/>
                    <pic:cNvPicPr/>
                  </pic:nvPicPr>
                  <pic:blipFill>
                    <a:blip r:embed="rId16"/>
                    <a:stretch>
                      <a:fillRect/>
                    </a:stretch>
                  </pic:blipFill>
                  <pic:spPr>
                    <a:xfrm>
                      <a:off x="0" y="0"/>
                      <a:ext cx="5303520" cy="4335302"/>
                    </a:xfrm>
                    <a:prstGeom prst="rect"/>
                  </pic:spPr>
                </pic:pic>
              </a:graphicData>
            </a:graphic>
          </wp:inline>
        </w:drawing>
      </w:r>
    </w:p>
    <w:p>
      <w:pPr>
        <w:keepNext w:val="0"/>
        <w:keepLines w:val="0"/>
        <w:spacing w:before="80" w:after="80" w:line="276" w:lineRule="auto"/>
        <w:jc w:val="center"/>
      </w:pPr>
      <w:r>
        <w:rPr>
          <w:rFonts w:ascii="Times New Roman" w:hAnsi="Times New Roman"/>
          <w:b w:val="0"/>
          <w:color w:val="000000"/>
          <w:sz w:val="22"/>
        </w:rPr>
        <w:t>Figure 4.2 Library view in the isolated local rehearsal</w:t>
      </w:r>
    </w:p>
    <w:p>
      <w:pPr>
        <w:keepNext/>
        <w:keepLines w:val="0"/>
        <w:pageBreakBefore/>
        <w:spacing w:before="0" w:after="200" w:line="276" w:lineRule="auto"/>
        <w:jc w:val="left"/>
      </w:pPr>
      <w:r>
        <w:rPr>
          <w:rFonts w:ascii="Times New Roman" w:hAnsi="Times New Roman"/>
          <w:b/>
          <w:color w:val="000000"/>
          <w:sz w:val="24"/>
        </w:rPr>
        <w:t>Persistent Data Model</w:t>
      </w:r>
    </w:p>
    <w:p>
      <w:pPr>
        <w:keepNext/>
        <w:keepLines w:val="0"/>
        <w:spacing w:before="0" w:after="120" w:line="276" w:lineRule="auto"/>
        <w:jc w:val="left"/>
      </w:pPr>
      <w:r>
        <w:rPr>
          <w:rFonts w:ascii="Times New Roman" w:hAnsi="Times New Roman"/>
          <w:b/>
          <w:color w:val="000000"/>
          <w:sz w:val="24"/>
        </w:rPr>
        <w:t>4.1 System Architecture and Data Model — continued</w:t>
      </w:r>
    </w:p>
    <w:p>
      <w:pPr>
        <w:keepNext w:val="0"/>
        <w:keepLines w:val="0"/>
        <w:spacing w:before="240" w:after="0" w:line="480" w:lineRule="auto"/>
        <w:jc w:val="both"/>
      </w:pPr>
      <w:r>
        <w:rPr>
          <w:rFonts w:ascii="Times New Roman" w:hAnsi="Times New Roman"/>
          <w:b w:val="0"/>
          <w:color w:val="000000"/>
          <w:sz w:val="24"/>
        </w:rPr>
        <w:t>The database distinguishes source knowledge from personal working context. A root records an approved folder. Each document belongs to one root and stores its path, extracted text, extension, size, modification timestamp and indexing time. Each chunk belongs to a document and stores an exact text interval, an optional PDF page and an optional embedding with model and dimension metadata.</w:t>
      </w:r>
    </w:p>
    <w:p>
      <w:pPr>
        <w:keepNext w:val="0"/>
        <w:keepLines w:val="0"/>
        <w:spacing w:before="240" w:after="0" w:line="480" w:lineRule="auto"/>
        <w:jc w:val="both"/>
      </w:pPr>
      <w:r>
        <w:rPr>
          <w:rFonts w:ascii="Times New Roman" w:hAnsi="Times New Roman"/>
          <w:b w:val="0"/>
          <w:color w:val="000000"/>
          <w:sz w:val="24"/>
        </w:rPr>
        <w:t>Memories and sessions may belong to a project; messages belong to sessions. Citation and trace JSON remain attached to messages. These are relational records, not an inferred knowledge graph.</w:t>
      </w:r>
    </w:p>
    <w:p>
      <w:pPr>
        <w:keepNext/>
        <w:keepLines w:val="0"/>
        <w:spacing w:before="160" w:after="0" w:line="240" w:lineRule="auto"/>
        <w:jc w:val="center"/>
      </w:pPr>
      <w:r>
        <w:rPr>
          <w:rFonts w:ascii="Times New Roman" w:hAnsi="Times New Roman"/>
          <w:b w:val="0"/>
          <w:color w:val="000000"/>
          <w:sz w:val="24"/>
        </w:rPr>
      </w:r>
      <w:r>
        <w:drawing>
          <wp:inline xmlns:a="http://schemas.openxmlformats.org/drawingml/2006/main" xmlns:pic="http://schemas.openxmlformats.org/drawingml/2006/picture">
            <wp:extent cx="4572000" cy="4143214"/>
            <wp:docPr id="17" name="Picture 17"/>
            <wp:cNvGraphicFramePr>
              <a:graphicFrameLocks noChangeAspect="1"/>
            </wp:cNvGraphicFramePr>
            <a:graphic>
              <a:graphicData uri="http://schemas.openxmlformats.org/drawingml/2006/picture">
                <pic:pic>
                  <pic:nvPicPr>
                    <pic:cNvPr id="0" name="schema.png"/>
                    <pic:cNvPicPr/>
                  </pic:nvPicPr>
                  <pic:blipFill>
                    <a:blip r:embed="rId17"/>
                    <a:stretch>
                      <a:fillRect/>
                    </a:stretch>
                  </pic:blipFill>
                  <pic:spPr>
                    <a:xfrm>
                      <a:off x="0" y="0"/>
                      <a:ext cx="4572000" cy="4143214"/>
                    </a:xfrm>
                    <a:prstGeom prst="rect"/>
                  </pic:spPr>
                </pic:pic>
              </a:graphicData>
            </a:graphic>
          </wp:inline>
        </w:drawing>
      </w:r>
    </w:p>
    <w:p>
      <w:pPr>
        <w:keepNext w:val="0"/>
        <w:keepLines w:val="0"/>
        <w:spacing w:before="80" w:after="80" w:line="276" w:lineRule="auto"/>
        <w:jc w:val="center"/>
      </w:pPr>
      <w:r>
        <w:rPr>
          <w:rFonts w:ascii="Times New Roman" w:hAnsi="Times New Roman"/>
          <w:b w:val="0"/>
          <w:color w:val="000000"/>
          <w:sz w:val="22"/>
        </w:rPr>
        <w:t>Figure 4.3 Persistent source, memory and conversation entities</w:t>
      </w:r>
    </w:p>
    <w:p>
      <w:pPr>
        <w:keepNext/>
        <w:keepLines w:val="0"/>
        <w:pageBreakBefore/>
        <w:spacing w:before="0" w:after="200" w:line="276" w:lineRule="auto"/>
        <w:jc w:val="left"/>
      </w:pPr>
      <w:r>
        <w:rPr>
          <w:rFonts w:ascii="Times New Roman" w:hAnsi="Times New Roman"/>
          <w:b/>
          <w:color w:val="000000"/>
          <w:sz w:val="24"/>
        </w:rPr>
        <w:t>Transactions and Retrieval State</w:t>
      </w:r>
    </w:p>
    <w:p>
      <w:pPr>
        <w:keepNext/>
        <w:keepLines w:val="0"/>
        <w:spacing w:before="0" w:after="120" w:line="276" w:lineRule="auto"/>
        <w:jc w:val="left"/>
      </w:pPr>
      <w:r>
        <w:rPr>
          <w:rFonts w:ascii="Times New Roman" w:hAnsi="Times New Roman"/>
          <w:b/>
          <w:color w:val="000000"/>
          <w:sz w:val="24"/>
        </w:rPr>
        <w:t>4.1 System Architecture and Data Model — continued</w:t>
      </w:r>
    </w:p>
    <w:p>
      <w:pPr>
        <w:keepNext w:val="0"/>
        <w:keepLines w:val="0"/>
        <w:spacing w:before="240" w:after="0" w:line="480" w:lineRule="auto"/>
        <w:jc w:val="both"/>
      </w:pPr>
      <w:r>
        <w:rPr>
          <w:rFonts w:ascii="Times New Roman" w:hAnsi="Times New Roman"/>
          <w:b w:val="0"/>
          <w:color w:val="000000"/>
          <w:sz w:val="24"/>
        </w:rPr>
        <w:t>Each store operation opens a short-lived SQLite connection with foreign keys enabled and a thirty-second busy timeout. Write-ahead logging allows the API and MCP processes to share a database without introducing an additional database service. Writes remain transactional: replacing a document deletes its old chunks and inserts the new extraction and passages in one operation. An exception rolls back the replacement.</w:t>
      </w:r>
    </w:p>
    <w:p>
      <w:pPr>
        <w:keepNext w:val="0"/>
        <w:keepLines w:val="0"/>
        <w:spacing w:before="240" w:after="0" w:line="480" w:lineRule="auto"/>
        <w:jc w:val="both"/>
      </w:pPr>
      <w:r>
        <w:rPr>
          <w:rFonts w:ascii="Times New Roman" w:hAnsi="Times New Roman"/>
          <w:b w:val="0"/>
          <w:color w:val="000000"/>
          <w:sz w:val="24"/>
        </w:rPr>
        <w:t>The full-text indexes use FTS5 with the unicode61 tokenizer. The chunk index contains text, document title and path; insert and delete triggers keep it aligned with chunk rows. Conversation search has a separate content index and includes user and assistant messages. Explicit memory search instead uses a bounded substring query over recent notes. A single phrase such as persistent memory therefore covers several deliberate mechanisms rather than one universal vector index.</w:t>
      </w:r>
    </w:p>
    <w:p>
      <w:pPr>
        <w:keepNext w:val="0"/>
        <w:keepLines w:val="0"/>
        <w:spacing w:before="240" w:after="0" w:line="480" w:lineRule="auto"/>
        <w:jc w:val="both"/>
      </w:pPr>
      <w:r>
        <w:rPr>
          <w:rFonts w:ascii="Times New Roman" w:hAnsi="Times New Roman"/>
          <w:b w:val="0"/>
          <w:color w:val="000000"/>
          <w:sz w:val="24"/>
        </w:rPr>
        <w:t>Embeddings are stored as little-endian float32 binary values with their model label and dimension. Inserts reject nonfinite values and inconsistent dimensions within a document. Search compares only compatible vectors. This prevents an embedding-model change from silently mixing unrelated vector spaces. It does not eliminate the need to rescan or backfill embeddings when the configured model changes, nor does it establish semantic quality by itself.</w:t>
      </w:r>
    </w:p>
    <w:p>
      <w:pPr>
        <w:keepNext/>
        <w:keepLines w:val="0"/>
        <w:pageBreakBefore/>
        <w:spacing w:before="0" w:after="200" w:line="276" w:lineRule="auto"/>
        <w:jc w:val="left"/>
      </w:pPr>
      <w:r>
        <w:rPr>
          <w:rFonts w:ascii="Times New Roman" w:hAnsi="Times New Roman"/>
          <w:b/>
          <w:color w:val="000000"/>
          <w:sz w:val="24"/>
        </w:rPr>
        <w:t>Approving Sources and Restricting Scope</w:t>
      </w:r>
    </w:p>
    <w:p>
      <w:pPr>
        <w:keepNext/>
        <w:keepLines w:val="0"/>
        <w:spacing w:before="0" w:after="120" w:line="276" w:lineRule="auto"/>
        <w:jc w:val="left"/>
      </w:pPr>
      <w:r>
        <w:rPr>
          <w:rFonts w:ascii="Times New Roman" w:hAnsi="Times New Roman"/>
          <w:b/>
          <w:color w:val="000000"/>
          <w:sz w:val="24"/>
        </w:rPr>
        <w:t>4.2 Local Ingestion and Hybrid Retrieval</w:t>
      </w:r>
    </w:p>
    <w:p>
      <w:pPr>
        <w:keepNext w:val="0"/>
        <w:keepLines w:val="0"/>
        <w:spacing w:before="240" w:after="0" w:line="480" w:lineRule="auto"/>
        <w:jc w:val="both"/>
      </w:pPr>
      <w:r>
        <w:rPr>
          <w:rFonts w:ascii="Times New Roman" w:hAnsi="Times New Roman"/>
          <w:b w:val="0"/>
          <w:color w:val="000000"/>
          <w:sz w:val="24"/>
        </w:rPr>
        <w:t>Ingestion starts with an explicit folder choice. The library expands and canonicalizes the path, verifies that it is an existing directory and rejects prohibited locations. Overlapping approved roots are refused to avoid ambiguous ownership and duplicate indexing. The application data directory is excluded, preventing its own database, plans and runtime state from being ingested as ordinary source material.</w:t>
      </w:r>
    </w:p>
    <w:p>
      <w:pPr>
        <w:keepNext w:val="0"/>
        <w:keepLines w:val="0"/>
        <w:spacing w:before="240" w:after="0" w:line="480" w:lineRule="auto"/>
        <w:jc w:val="both"/>
      </w:pPr>
      <w:r>
        <w:rPr>
          <w:rFonts w:ascii="Times New Roman" w:hAnsi="Times New Roman"/>
          <w:b w:val="0"/>
          <w:color w:val="000000"/>
          <w:sz w:val="24"/>
        </w:rPr>
        <w:t>The scanner does not follow symbolic links. It also omits hidden entries, dependency and build folders, system-related directories and known secret filenames. These exclusions reduce accidental collection but do not inspect the meaning of every document. A password written inside an otherwise allowed Markdown file remains possible. Source approval therefore grants access to eligible content inside that folder and should be treated as a meaningful user decision.</w:t>
      </w:r>
    </w:p>
    <w:p>
      <w:pPr>
        <w:keepNext w:val="0"/>
        <w:keepLines w:val="0"/>
        <w:spacing w:before="240" w:after="0" w:line="480" w:lineRule="auto"/>
        <w:jc w:val="both"/>
      </w:pPr>
      <w:r>
        <w:rPr>
          <w:rFonts w:ascii="Times New Roman" w:hAnsi="Times New Roman"/>
          <w:b w:val="0"/>
          <w:color w:val="000000"/>
          <w:sz w:val="24"/>
        </w:rPr>
        <w:t>Platform handling follows the same scope goal through different filesystem APIs. Linux uses bounded descriptor-based reads with link avoidance. The Windows edition adds native checks for junctions, reparse points, network paths and handle destinations, while allowing ordinary folders on local fixed or removable drives. The approved scope is a document folder, not an unrestricted permission to read every system file on the laptop.</w:t>
      </w:r>
    </w:p>
    <w:p>
      <w:pPr>
        <w:keepNext/>
        <w:keepLines w:val="0"/>
        <w:pageBreakBefore/>
        <w:spacing w:before="0" w:after="200" w:line="276" w:lineRule="auto"/>
        <w:jc w:val="left"/>
      </w:pPr>
      <w:r>
        <w:rPr>
          <w:rFonts w:ascii="Times New Roman" w:hAnsi="Times New Roman"/>
          <w:b/>
          <w:color w:val="000000"/>
          <w:sz w:val="24"/>
        </w:rPr>
        <w:t>Bounded Reading and Document Extraction</w:t>
      </w:r>
    </w:p>
    <w:p>
      <w:pPr>
        <w:keepNext/>
        <w:keepLines w:val="0"/>
        <w:spacing w:before="0" w:after="120" w:line="276" w:lineRule="auto"/>
        <w:jc w:val="left"/>
      </w:pPr>
      <w:r>
        <w:rPr>
          <w:rFonts w:ascii="Times New Roman" w:hAnsi="Times New Roman"/>
          <w:b/>
          <w:color w:val="000000"/>
          <w:sz w:val="24"/>
        </w:rPr>
        <w:t>4.2 Local Ingestion and Hybrid Retrieval — continued</w:t>
      </w:r>
    </w:p>
    <w:p>
      <w:pPr>
        <w:keepNext w:val="0"/>
        <w:keepLines w:val="0"/>
        <w:spacing w:before="240" w:after="0" w:line="480" w:lineRule="auto"/>
        <w:jc w:val="both"/>
      </w:pPr>
      <w:r>
        <w:rPr>
          <w:rFonts w:ascii="Times New Roman" w:hAnsi="Times New Roman"/>
          <w:b w:val="0"/>
          <w:color w:val="000000"/>
          <w:sz w:val="24"/>
        </w:rPr>
        <w:t>A supported file is read within a configured twenty-mebibyte limit. The reader accepts regular files and compares file size and modification time before and after reading. If the source changes during ingestion, the operation fails and asks for a later rescan. The scanner also limits supported-file candidates to twenty thousand, while extraction limits each document to five million characters and PDFs to two thousand pages.</w:t>
      </w:r>
    </w:p>
    <w:p>
      <w:pPr>
        <w:keepNext w:val="0"/>
        <w:keepLines w:val="0"/>
        <w:spacing w:before="240" w:after="0" w:line="480" w:lineRule="auto"/>
        <w:jc w:val="both"/>
      </w:pPr>
      <w:r>
        <w:rPr>
          <w:rFonts w:ascii="Times New Roman" w:hAnsi="Times New Roman"/>
          <w:b w:val="0"/>
          <w:color w:val="000000"/>
          <w:sz w:val="24"/>
        </w:rPr>
        <w:t>Text decoding recognizes Unicode byte-order marks, tries UTF-8 and falls back to CP1252 where appropriate. Binary-content checks reject common nontext inputs, and line endings are normalized. PDF extraction uses pypdf and records one-based page boundaries. Scanned images without extractable text need a separate local OCR step; the application does not claim to understand them automatically.</w:t>
      </w:r>
    </w:p>
    <w:p>
      <w:pPr>
        <w:keepNext w:val="0"/>
        <w:keepLines w:val="0"/>
        <w:spacing w:before="240" w:after="0" w:line="480" w:lineRule="auto"/>
        <w:jc w:val="both"/>
      </w:pPr>
      <w:r>
        <w:rPr>
          <w:rFonts w:ascii="Times New Roman" w:hAnsi="Times New Roman"/>
          <w:b w:val="0"/>
          <w:color w:val="000000"/>
          <w:sz w:val="24"/>
        </w:rPr>
        <w:t>DOCX extraction reads supported XML parts from the ZIP package, including paragraphs, table cells and available headers, footers, footnotes and endnotes. It preserves textual tabs and breaks without reproducing the original page layout or embedded graphics. The stored snapshot is therefore the complete successful extraction, not a visual or byte-identical copy. This distinction is necessary when describing full-document access and summarization.</w:t>
      </w:r>
    </w:p>
    <w:p>
      <w:pPr>
        <w:keepNext/>
        <w:keepLines w:val="0"/>
        <w:pageBreakBefore/>
        <w:spacing w:before="0" w:after="200" w:line="276" w:lineRule="auto"/>
        <w:jc w:val="left"/>
      </w:pPr>
      <w:r>
        <w:rPr>
          <w:rFonts w:ascii="Times New Roman" w:hAnsi="Times New Roman"/>
          <w:b/>
          <w:color w:val="000000"/>
          <w:sz w:val="24"/>
        </w:rPr>
        <w:t>Page-aware Chunking and Embeddings</w:t>
      </w:r>
    </w:p>
    <w:p>
      <w:pPr>
        <w:keepNext/>
        <w:keepLines w:val="0"/>
        <w:spacing w:before="0" w:after="120" w:line="276" w:lineRule="auto"/>
        <w:jc w:val="left"/>
      </w:pPr>
      <w:r>
        <w:rPr>
          <w:rFonts w:ascii="Times New Roman" w:hAnsi="Times New Roman"/>
          <w:b/>
          <w:color w:val="000000"/>
          <w:sz w:val="24"/>
        </w:rPr>
        <w:t>4.2 Local Ingestion and Hybrid Retrieval — continued</w:t>
      </w:r>
    </w:p>
    <w:p>
      <w:pPr>
        <w:keepNext w:val="0"/>
        <w:keepLines w:val="0"/>
        <w:spacing w:before="240" w:after="0" w:line="480" w:lineRule="auto"/>
        <w:jc w:val="both"/>
      </w:pPr>
      <w:r>
        <w:rPr>
          <w:rFonts w:ascii="Times New Roman" w:hAnsi="Times New Roman"/>
          <w:b w:val="0"/>
          <w:color w:val="000000"/>
          <w:sz w:val="24"/>
        </w:rPr>
        <w:t>After extraction, the library divides text into passages while retaining exact start and end character offsets. The normal passage limit is 1,800 characters with 200 characters of overlap. When a passage would end before the document boundary, the algorithm prefers a newline or sentence delimiter in the latter half of the candidate interval. This reduces abrupt splits without requiring an additional language-processing model.</w:t>
      </w:r>
    </w:p>
    <w:p>
      <w:pPr>
        <w:keepNext w:val="0"/>
        <w:keepLines w:val="0"/>
        <w:spacing w:before="240" w:after="0" w:line="480" w:lineRule="auto"/>
        <w:jc w:val="both"/>
      </w:pPr>
      <w:r>
        <w:rPr>
          <w:rFonts w:ascii="Times New Roman" w:hAnsi="Times New Roman"/>
          <w:b w:val="0"/>
          <w:color w:val="000000"/>
          <w:sz w:val="24"/>
        </w:rPr>
        <w:t>PDF page intervals are processed separately, so one chunk never crosses two PDF pages. Empty passages are omitted, and a progress guard prevents overlap from causing an infinite loop. Character counts are intentionally described as characters rather than tokens because the local model tokenizer can produce different lengths for different content. Stored offsets allow passage text to be checked against the document snapshot exactly.</w:t>
      </w:r>
    </w:p>
    <w:p>
      <w:pPr>
        <w:keepNext w:val="0"/>
        <w:keepLines w:val="0"/>
        <w:spacing w:before="240" w:after="0" w:line="480" w:lineRule="auto"/>
        <w:jc w:val="both"/>
      </w:pPr>
      <w:r>
        <w:rPr>
          <w:rFonts w:ascii="Times New Roman" w:hAnsi="Times New Roman"/>
          <w:b w:val="0"/>
          <w:color w:val="000000"/>
          <w:sz w:val="24"/>
        </w:rPr>
        <w:t>The local embedder processes batches of sixteen chunk texts. A document receives vectors only when all its embedding batches succeed with compatible finite dimensions. The first embedding failure disables further embedding attempts during that scan, allowing lexical indexing to continue. On a later rescan, unchanged documents can have missing or model-mismatched embeddings backfilled without reparsing their source. This fallback preserves access while making semantic retrieval availability explicit.</w:t>
      </w:r>
    </w:p>
    <w:p>
      <w:pPr>
        <w:keepNext/>
        <w:keepLines w:val="0"/>
        <w:pageBreakBefore/>
        <w:spacing w:before="0" w:after="200" w:line="276" w:lineRule="auto"/>
        <w:jc w:val="left"/>
      </w:pPr>
      <w:r>
        <w:rPr>
          <w:rFonts w:ascii="Times New Roman" w:hAnsi="Times New Roman"/>
          <w:b/>
          <w:color w:val="000000"/>
          <w:sz w:val="24"/>
        </w:rPr>
        <w:t>Lexical, Semantic and Hybrid Ranking</w:t>
      </w:r>
    </w:p>
    <w:p>
      <w:pPr>
        <w:keepNext/>
        <w:keepLines w:val="0"/>
        <w:spacing w:before="0" w:after="120" w:line="276" w:lineRule="auto"/>
        <w:jc w:val="left"/>
      </w:pPr>
      <w:r>
        <w:rPr>
          <w:rFonts w:ascii="Times New Roman" w:hAnsi="Times New Roman"/>
          <w:b/>
          <w:color w:val="000000"/>
          <w:sz w:val="24"/>
        </w:rPr>
        <w:t>4.2 Local Ingestion and Hybrid Retrieval — continued</w:t>
      </w:r>
    </w:p>
    <w:p>
      <w:pPr>
        <w:keepNext w:val="0"/>
        <w:keepLines w:val="0"/>
        <w:spacing w:before="240" w:after="0" w:line="480" w:lineRule="auto"/>
        <w:jc w:val="both"/>
      </w:pPr>
      <w:r>
        <w:rPr>
          <w:rFonts w:ascii="Times New Roman" w:hAnsi="Times New Roman"/>
          <w:b w:val="0"/>
          <w:color w:val="000000"/>
          <w:sz w:val="24"/>
        </w:rPr>
        <w:t>The query is trimmed to 1,024 characters and converted into at most twenty-four distinct Unicode alphanumeric tokens. Quoted tokens are joined with OR for FTS5. Lexical ordering uses native BM25 over passage text, title and path, with respective field weights of 1.0, 2.0 and 0.3. This stage is useful for exact project names, identifiers and terms found in local documents.</w:t>
      </w:r>
    </w:p>
    <w:p>
      <w:pPr>
        <w:keepNext w:val="0"/>
        <w:keepLines w:val="0"/>
        <w:spacing w:before="240" w:after="0" w:line="480" w:lineRule="auto"/>
        <w:jc w:val="both"/>
      </w:pPr>
      <w:r>
        <w:rPr>
          <w:rFonts w:ascii="Times New Roman" w:hAnsi="Times New Roman"/>
          <w:b w:val="0"/>
          <w:color w:val="000000"/>
          <w:sz w:val="24"/>
        </w:rPr>
        <w:t>For semantic retrieval, the store scans compatible vectors in batches of 128 rows and computes cosine similarity. Invalid vectors, zero norms and nonpositive similarities are excluded. A bounded heap retains the strongest candidates. The implementation performs exact scanning rather than approximate nearest-neighbor search, so semantic work grows with the number of compatible vectors. No measured large-corpus scalability claim follows from this design.</w:t>
      </w:r>
    </w:p>
    <w:p>
      <w:pPr>
        <w:keepNext w:val="0"/>
        <w:keepLines w:val="0"/>
        <w:spacing w:before="240" w:after="0" w:line="480" w:lineRule="auto"/>
        <w:jc w:val="both"/>
      </w:pPr>
      <w:r>
        <w:rPr>
          <w:rFonts w:ascii="Times New Roman" w:hAnsi="Times New Roman"/>
          <w:b w:val="0"/>
          <w:color w:val="000000"/>
          <w:sz w:val="24"/>
        </w:rPr>
        <w:t>Hybrid ordering applies equal-weight reciprocal-rank fusion: a candidate contributes 1/(60 + rank) from each list in which it appears. Ranks start at one; an absent list contributes zero. Ties use chunk identifiers. The ranking depth is min(160, max(40, 4L)), where L is the requested store limit. Fusion scores are ordering values rather than probabilities. The library subsequently filters stale or disallowed sources before returning the requested number of passages.</w:t>
      </w:r>
    </w:p>
    <w:p>
      <w:pPr>
        <w:keepNext/>
        <w:keepLines w:val="0"/>
        <w:pageBreakBefore/>
        <w:spacing w:before="0" w:after="200" w:line="276" w:lineRule="auto"/>
        <w:jc w:val="left"/>
      </w:pPr>
      <w:r>
        <w:rPr>
          <w:rFonts w:ascii="Times New Roman" w:hAnsi="Times New Roman"/>
          <w:b/>
          <w:color w:val="000000"/>
          <w:sz w:val="24"/>
        </w:rPr>
        <w:t>Incremental Indexing and Source Freshness</w:t>
      </w:r>
    </w:p>
    <w:p>
      <w:pPr>
        <w:keepNext/>
        <w:keepLines w:val="0"/>
        <w:spacing w:before="0" w:after="120" w:line="276" w:lineRule="auto"/>
        <w:jc w:val="left"/>
      </w:pPr>
      <w:r>
        <w:rPr>
          <w:rFonts w:ascii="Times New Roman" w:hAnsi="Times New Roman"/>
          <w:b/>
          <w:color w:val="000000"/>
          <w:sz w:val="24"/>
        </w:rPr>
        <w:t>4.2 Local Ingestion and Hybrid Retrieval — continued</w:t>
      </w:r>
    </w:p>
    <w:p>
      <w:pPr>
        <w:keepNext w:val="0"/>
        <w:keepLines w:val="0"/>
        <w:spacing w:before="240" w:after="0" w:line="480" w:lineRule="auto"/>
        <w:jc w:val="both"/>
      </w:pPr>
      <w:r>
        <w:rPr>
          <w:rFonts w:ascii="Times New Roman" w:hAnsi="Times New Roman"/>
          <w:b w:val="0"/>
          <w:color w:val="000000"/>
          <w:sz w:val="24"/>
        </w:rPr>
        <w:t>A rescan compares each supported file with its stored size and nanosecond modification timestamp. Matching metadata allows the existing extraction to be reused, except when embeddings require backfilling. Changed documents are parsed and replaced transactionally. This avoids repeatedly processing every unchanged file while keeping source ownership, passage text and full-text entries consistent after a successful update.</w:t>
      </w:r>
    </w:p>
    <w:p>
      <w:pPr>
        <w:keepNext w:val="0"/>
        <w:keepLines w:val="0"/>
        <w:spacing w:before="240" w:after="0" w:line="480" w:lineRule="auto"/>
        <w:jc w:val="both"/>
      </w:pPr>
      <w:r>
        <w:rPr>
          <w:rFonts w:ascii="Times New Roman" w:hAnsi="Times New Roman"/>
          <w:b w:val="0"/>
          <w:color w:val="000000"/>
          <w:sz w:val="24"/>
        </w:rPr>
        <w:t>Deletion handling depends on completing the folder traversal. The scanner collects seen paths and removes absent document rows only when enumeration finishes without traversal errors or the configured candidate limit. Otherwise pruning is suppressed. A failed parse can leave an older snapshot in storage, but retrieval independently checks the live source signature and excludes it when metadata differs. The MCP document reader applies corresponding approval and freshness checks.</w:t>
      </w:r>
    </w:p>
    <w:p>
      <w:pPr>
        <w:keepNext w:val="0"/>
        <w:keepLines w:val="0"/>
        <w:spacing w:before="240" w:after="0" w:line="480" w:lineRule="auto"/>
        <w:jc w:val="both"/>
      </w:pPr>
      <w:r>
        <w:rPr>
          <w:rFonts w:ascii="Times New Roman" w:hAnsi="Times New Roman"/>
          <w:b w:val="0"/>
          <w:color w:val="000000"/>
          <w:sz w:val="24"/>
        </w:rPr>
        <w:t>Freshness is deliberately limited to metadata validation. A content change that preserves both size and modification time can evade detection because the index does not use a cryptographic content hash. There is also no filesystem watcher; the user initiates rescans. These limits distinguish immediate rejection of a visibly stale snapshot from a guarantee that every stored byte always matches a changing disk.</w:t>
      </w:r>
    </w:p>
    <w:p>
      <w:pPr>
        <w:keepNext/>
        <w:keepLines w:val="0"/>
        <w:pageBreakBefore/>
        <w:spacing w:before="0" w:after="200" w:line="276" w:lineRule="auto"/>
        <w:jc w:val="left"/>
      </w:pPr>
      <w:r>
        <w:rPr>
          <w:rFonts w:ascii="Times New Roman" w:hAnsi="Times New Roman"/>
          <w:b/>
          <w:color w:val="000000"/>
          <w:sz w:val="24"/>
        </w:rPr>
        <w:t>MCP Server and Client Execution</w:t>
      </w:r>
    </w:p>
    <w:p>
      <w:pPr>
        <w:keepNext/>
        <w:keepLines w:val="0"/>
        <w:spacing w:before="0" w:after="120" w:line="276" w:lineRule="auto"/>
        <w:jc w:val="left"/>
      </w:pPr>
      <w:r>
        <w:rPr>
          <w:rFonts w:ascii="Times New Roman" w:hAnsi="Times New Roman"/>
          <w:b/>
          <w:color w:val="000000"/>
          <w:sz w:val="24"/>
        </w:rPr>
        <w:t>4.3 MCP Memory and Agent Execution</w:t>
      </w:r>
    </w:p>
    <w:p>
      <w:pPr>
        <w:keepNext w:val="0"/>
        <w:keepLines w:val="0"/>
        <w:spacing w:before="240" w:after="0" w:line="480" w:lineRule="auto"/>
        <w:jc w:val="both"/>
      </w:pPr>
      <w:r>
        <w:rPr>
          <w:rFonts w:ascii="Times New Roman" w:hAnsi="Times New Roman"/>
          <w:b w:val="0"/>
          <w:color w:val="000000"/>
          <w:sz w:val="24"/>
        </w:rPr>
        <w:t>The custom memory server uses the official SDK FastMCP implementation with stdio transport. The application client starts a separate Python process, establishes a ClientSession, initializes the protocol, discovers tools and issues tool calls. Both processes use the configured SQLite database. This provides actual MCP interoperability without opening a network listener for the memory service.</w:t>
      </w:r>
    </w:p>
    <w:p>
      <w:pPr>
        <w:keepNext w:val="0"/>
        <w:keepLines w:val="0"/>
        <w:spacing w:before="240" w:after="0" w:line="480" w:lineRule="auto"/>
        <w:jc w:val="both"/>
      </w:pPr>
      <w:r>
        <w:rPr>
          <w:rFonts w:ascii="Times New Roman" w:hAnsi="Times New Roman"/>
          <w:b w:val="0"/>
          <w:color w:val="000000"/>
          <w:sz w:val="24"/>
        </w:rPr>
        <w:t>Ten tools cover knowledge search, document listing and reading, explicit memory creation and recall, forgetting, project listing and creation, conversation search and approved-source listing. Two resources expose an overview and project information. Document reading takes an indexed identifier and a bounded offset and limit; it returns total length and a next offset. The default read is 12,000 characters and the maximum is 50,000 per call.</w:t>
      </w:r>
    </w:p>
    <w:p>
      <w:pPr>
        <w:keepNext w:val="0"/>
        <w:keepLines w:val="0"/>
        <w:spacing w:before="240" w:after="0" w:line="480" w:lineRule="auto"/>
        <w:jc w:val="both"/>
      </w:pPr>
      <w:r>
        <w:rPr>
          <w:rFonts w:ascii="Times New Roman" w:hAnsi="Times New Roman"/>
          <w:b w:val="0"/>
          <w:color w:val="000000"/>
          <w:sz w:val="24"/>
        </w:rPr>
        <w:t>The built-in agent receives only six read-only tool schemas. External MCP clients may access additional write tools, while the browser API can write memories directly. Tool annotations communicate intended behavior but do not act as authentication. Accordingly, the MCP boundary is a structured capability interface for a trusted local client. It is not an encrypted storage service or a permission system that makes arbitrary external clients trustworthy.</w:t>
      </w:r>
    </w:p>
    <w:p>
      <w:pPr>
        <w:keepNext/>
        <w:keepLines w:val="0"/>
        <w:pageBreakBefore/>
        <w:spacing w:before="0" w:after="200" w:line="276" w:lineRule="auto"/>
        <w:jc w:val="left"/>
      </w:pPr>
      <w:r>
        <w:rPr>
          <w:rFonts w:ascii="Times New Roman" w:hAnsi="Times New Roman"/>
          <w:b/>
          <w:color w:val="000000"/>
          <w:sz w:val="24"/>
        </w:rPr>
        <w:t>Conversation Context and Bounded Agency</w:t>
      </w:r>
    </w:p>
    <w:p>
      <w:pPr>
        <w:keepNext/>
        <w:keepLines w:val="0"/>
        <w:spacing w:before="0" w:after="120" w:line="276" w:lineRule="auto"/>
        <w:jc w:val="left"/>
      </w:pPr>
      <w:r>
        <w:rPr>
          <w:rFonts w:ascii="Times New Roman" w:hAnsi="Times New Roman"/>
          <w:b/>
          <w:color w:val="000000"/>
          <w:sz w:val="24"/>
        </w:rPr>
        <w:t>4.3 MCP Memory and Agent Execution — continued</w:t>
      </w:r>
    </w:p>
    <w:p>
      <w:pPr>
        <w:keepNext w:val="0"/>
        <w:keepLines w:val="0"/>
        <w:spacing w:before="240" w:after="0" w:line="480" w:lineRule="auto"/>
        <w:jc w:val="both"/>
      </w:pPr>
      <w:r>
        <w:rPr>
          <w:rFonts w:ascii="Times New Roman" w:hAnsi="Times New Roman"/>
          <w:b w:val="0"/>
          <w:color w:val="000000"/>
          <w:sz w:val="24"/>
        </w:rPr>
        <w:t>For ordinary questions, the agent loads at most ten recent messages, then makes initial knowledge_search and recall calls. It retrieves five passages and selected project or global memories. Each initial passage is still cropped to its first thousand characters. The production context repair does not redesign this evidence-selection stage.</w:t>
      </w:r>
    </w:p>
    <w:p>
      <w:pPr>
        <w:keepNext w:val="0"/>
        <w:keepLines w:val="0"/>
        <w:spacing w:before="240" w:after="0" w:line="480" w:lineRule="auto"/>
        <w:jc w:val="both"/>
      </w:pPr>
      <w:r>
        <w:rPr>
          <w:rFonts w:ascii="Times New Roman" w:hAnsi="Times New Roman"/>
          <w:b w:val="0"/>
          <w:color w:val="000000"/>
          <w:sz w:val="24"/>
        </w:rPr>
        <w:t>The two initial calls are outside the six-additional-tool budget. Ordinary turns permit at most eight actual MCP tool executions and five model calls: four planning calls plus one final synthesis. Summarization is a separate branch. Active-project recall and conversation search are scoped to that project; file retrieval remains across globally approved roots. Only the current user message can trigger the explicit remember command.</w:t>
      </w:r>
    </w:p>
    <w:p>
      <w:pPr>
        <w:keepNext w:val="0"/>
        <w:keepLines w:val="0"/>
        <w:spacing w:before="240" w:after="0" w:line="480" w:lineRule="auto"/>
        <w:jc w:val="both"/>
      </w:pPr>
      <w:r>
        <w:rPr>
          <w:rFonts w:ascii="Times New Roman" w:hAnsi="Times New Roman"/>
          <w:b w:val="0"/>
          <w:color w:val="000000"/>
          <w:sz w:val="24"/>
        </w:rPr>
        <w:t>The repaired fitter uses budget B = C − min(1536, floor(C/3)) − 256, where C is context size. It accounts for serialized UTF-8 messages, metadata, tool schemas and shortening markers, pins the first system and latest user messages and finds the longest fitting complete-character prefix. Small remaining budgets are checked exactly. Tool-call metadata remains whole. This code is applied locally; the separate production replay retains initial references for all 64 requests within the configured bound.</w:t>
      </w:r>
    </w:p>
    <w:p>
      <w:pPr>
        <w:keepNext/>
        <w:keepLines w:val="0"/>
        <w:pageBreakBefore/>
        <w:spacing w:before="0" w:after="200" w:line="276" w:lineRule="auto"/>
        <w:jc w:val="left"/>
      </w:pPr>
      <w:r>
        <w:rPr>
          <w:rFonts w:ascii="Times New Roman" w:hAnsi="Times New Roman"/>
          <w:b/>
          <w:color w:val="000000"/>
          <w:sz w:val="24"/>
        </w:rPr>
        <w:t>Whole-document Summaries and Project Plans</w:t>
      </w:r>
    </w:p>
    <w:p>
      <w:pPr>
        <w:keepNext/>
        <w:keepLines w:val="0"/>
        <w:spacing w:before="0" w:after="120" w:line="276" w:lineRule="auto"/>
        <w:jc w:val="left"/>
      </w:pPr>
      <w:r>
        <w:rPr>
          <w:rFonts w:ascii="Times New Roman" w:hAnsi="Times New Roman"/>
          <w:b/>
          <w:color w:val="000000"/>
          <w:sz w:val="24"/>
        </w:rPr>
        <w:t>4.3 MCP Memory and Agent Execution — continued</w:t>
      </w:r>
    </w:p>
    <w:p>
      <w:pPr>
        <w:keepNext w:val="0"/>
        <w:keepLines w:val="0"/>
        <w:spacing w:before="240" w:after="0" w:line="480" w:lineRule="auto"/>
        <w:jc w:val="both"/>
      </w:pPr>
      <w:r>
        <w:rPr>
          <w:rFonts w:ascii="Times New Roman" w:hAnsi="Times New Roman"/>
          <w:b w:val="0"/>
          <w:color w:val="000000"/>
          <w:sz w:val="24"/>
        </w:rPr>
        <w:t>Whole-document mode reads every page of the stored extraction through MCP pagination. At the default context setting, the agent divides text into sections of approximately four thousand characters and generates partial summaries. It then combines those partial outputs through iterative merging. This path differs from ordinary retrieval, where only a limited set of relevant passages is selected.</w:t>
      </w:r>
    </w:p>
    <w:p>
      <w:pPr>
        <w:keepNext w:val="0"/>
        <w:keepLines w:val="0"/>
        <w:spacing w:before="240" w:after="0" w:line="480" w:lineRule="auto"/>
        <w:jc w:val="both"/>
      </w:pPr>
      <w:r>
        <w:rPr>
          <w:rFonts w:ascii="Times New Roman" w:hAnsi="Times New Roman"/>
          <w:b w:val="0"/>
          <w:color w:val="000000"/>
          <w:sz w:val="24"/>
        </w:rPr>
        <w:t>Processing every section establishes visitation, not complete factual retention. Intermediate inputs can be cropped and generation may omit or misstate facts. The historical summary experiment processed fifteen sections with eleven model calls per task and retained ten of twenty-four target facts. Those summary tasks were not repeated in the production question-answer repair replay. Summaries therefore remain editable assistance that should be checked against complete stored extracts.</w:t>
      </w:r>
    </w:p>
    <w:p>
      <w:pPr>
        <w:keepNext w:val="0"/>
        <w:keepLines w:val="0"/>
        <w:spacing w:before="240" w:after="0" w:line="480" w:lineRule="auto"/>
        <w:jc w:val="both"/>
      </w:pPr>
      <w:r>
        <w:rPr>
          <w:rFonts w:ascii="Times New Roman" w:hAnsi="Times New Roman"/>
          <w:b w:val="0"/>
          <w:color w:val="000000"/>
          <w:sz w:val="24"/>
        </w:rPr>
        <w:t>Project planning is similarly bounded. The agent retrieves three passages, combines them with relevant project and global memories and generates a Markdown plan. The saved output is projects/&lt;id&gt;/PLAN.md beneath the application data directory. Regenerating the plan replaces that file. The feature helps organize objectives and next steps, but it does not scaffold an executable project, modify arbitrary user folders or run generated commands.</w:t>
      </w:r>
    </w:p>
    <w:p>
      <w:pPr>
        <w:keepNext/>
        <w:keepLines w:val="0"/>
        <w:pageBreakBefore/>
        <w:spacing w:before="0" w:after="200" w:line="276" w:lineRule="auto"/>
        <w:jc w:val="left"/>
      </w:pPr>
      <w:r>
        <w:rPr>
          <w:rFonts w:ascii="Times New Roman" w:hAnsi="Times New Roman"/>
          <w:b/>
          <w:color w:val="000000"/>
          <w:sz w:val="24"/>
        </w:rPr>
        <w:t>Privacy Controls and Evaluation Protocol</w:t>
      </w:r>
    </w:p>
    <w:p>
      <w:pPr>
        <w:keepNext/>
        <w:keepLines w:val="0"/>
        <w:spacing w:before="0" w:after="120" w:line="276" w:lineRule="auto"/>
        <w:jc w:val="left"/>
      </w:pPr>
      <w:r>
        <w:rPr>
          <w:rFonts w:ascii="Times New Roman" w:hAnsi="Times New Roman"/>
          <w:b/>
          <w:color w:val="000000"/>
          <w:sz w:val="24"/>
        </w:rPr>
        <w:t>4.4 Privacy Controls and Evaluation Protocol</w:t>
      </w:r>
    </w:p>
    <w:p>
      <w:pPr>
        <w:keepNext w:val="0"/>
        <w:keepLines w:val="0"/>
        <w:spacing w:before="240" w:after="0" w:line="480" w:lineRule="auto"/>
        <w:jc w:val="both"/>
      </w:pPr>
      <w:r>
        <w:rPr>
          <w:rFonts w:ascii="Times New Roman" w:hAnsi="Times New Roman"/>
          <w:b w:val="0"/>
          <w:color w:val="000000"/>
          <w:sz w:val="24"/>
        </w:rPr>
        <w:t>The privacy boundary includes approved folders, the database, application, MCP process and local model runtime. Loopback validation, disabled redirects, proxy avoidance and local-model checks reduce accidental remote inference. Source policy bounds reads, but the application assumes a trusted user and provides no API authentication, encrypted database, operating-system sandbox or comprehensive prompt-injection protection.</w:t>
      </w:r>
    </w:p>
    <w:p>
      <w:pPr>
        <w:keepNext w:val="0"/>
        <w:keepLines w:val="0"/>
        <w:spacing w:before="240" w:after="0" w:line="480" w:lineRule="auto"/>
        <w:jc w:val="both"/>
      </w:pPr>
      <w:r>
        <w:rPr>
          <w:rFonts w:ascii="Times New Roman" w:hAnsi="Times New Roman"/>
          <w:b w:val="0"/>
          <w:color w:val="000000"/>
          <w:sz w:val="24"/>
        </w:rPr>
        <w:t>Evaluation separates unchanged retrieval, historical generation, a research-only diagnostic and the current production repair replay. The corpus contains 39 Markdown documents and 141 chunks. Retrieval uses 96 answerable questions; generation reuses 24 selected positives and eight unknowns per method. The new replay verifies actual production code, reference retention and serialized-input bounds. Three historical summary tasks were not rerun for this repair.</w:t>
      </w:r>
    </w:p>
    <w:p>
      <w:pPr>
        <w:keepNext w:val="0"/>
        <w:keepLines w:val="0"/>
        <w:spacing w:before="240" w:after="0" w:line="480" w:lineRule="auto"/>
        <w:jc w:val="both"/>
      </w:pPr>
      <w:r>
        <w:rPr>
          <w:rFonts w:ascii="Times New Roman" w:hAnsi="Times New Roman"/>
          <w:b w:val="0"/>
          <w:color w:val="000000"/>
          <w:sz w:val="24"/>
        </w:rPr>
        <w:t>For CES@k, each expected fact needs at least one accepted alias in a retrieved chunk from its exact labeled source path among the first k results. AFVM requires every requested value in generated text; macro FVM averages fact coverage per positive question. These aliases do not prove semantic entailment. Current regression checks and the 64-request replay verify the repair, while reused questions and historical native Windows CI limit broader conclusions.</w:t>
      </w:r>
    </w:p>
    <w:p>
      <w:pPr>
        <w:keepNext/>
        <w:keepLines w:val="0"/>
        <w:pageBreakBefore/>
        <w:spacing w:before="0" w:after="160" w:line="276" w:lineRule="auto"/>
        <w:jc w:val="center"/>
      </w:pPr>
      <w:r>
        <w:rPr>
          <w:rFonts w:ascii="Times New Roman" w:hAnsi="Times New Roman"/>
          <w:b/>
          <w:color w:val="000000"/>
          <w:sz w:val="32"/>
        </w:rPr>
        <w:t>Chapter 5</w:t>
      </w:r>
    </w:p>
    <w:p>
      <w:pPr>
        <w:keepNext/>
        <w:keepLines w:val="0"/>
        <w:spacing w:before="0" w:after="240" w:line="360" w:lineRule="auto"/>
        <w:jc w:val="center"/>
      </w:pPr>
      <w:r>
        <w:rPr>
          <w:rFonts w:ascii="Times New Roman" w:hAnsi="Times New Roman"/>
          <w:b/>
          <w:color w:val="000000"/>
          <w:sz w:val="32"/>
        </w:rPr>
        <w:t>Results and Discussion</w:t>
      </w:r>
    </w:p>
    <w:p>
      <w:pPr>
        <w:keepNext/>
        <w:keepLines w:val="0"/>
        <w:spacing w:before="0" w:after="200" w:line="276" w:lineRule="auto"/>
        <w:jc w:val="left"/>
      </w:pPr>
      <w:r>
        <w:rPr>
          <w:rFonts w:ascii="Times New Roman" w:hAnsi="Times New Roman"/>
          <w:b/>
          <w:color w:val="000000"/>
          <w:sz w:val="24"/>
        </w:rPr>
        <w:t>5.1 Summary of results and discussion</w:t>
      </w:r>
    </w:p>
    <w:p>
      <w:pPr>
        <w:keepNext w:val="0"/>
        <w:keepLines w:val="0"/>
        <w:spacing w:before="240" w:after="0" w:line="480" w:lineRule="auto"/>
        <w:jc w:val="both"/>
      </w:pPr>
      <w:r>
        <w:rPr>
          <w:rFonts w:ascii="Times New Roman" w:hAnsi="Times New Roman"/>
          <w:b w:val="0"/>
          <w:color w:val="000000"/>
          <w:sz w:val="24"/>
        </w:rPr>
        <w:t>The frozen LM-Synth v1 corpus contains 39 Markdown files, 201,518 extracted characters and 141 chunks. Twelve fictional project families supply 36 ordinary documents; three dossiers support summary tasks. Retrieval evaluates 96 questions: 48 lexical, 36 paraphrase and 12 cross-document queries. Generation uses 24 selected positives and eight absent-value questions per method.</w:t>
      </w:r>
    </w:p>
    <w:p>
      <w:pPr>
        <w:keepNext w:val="0"/>
        <w:keepLines w:val="0"/>
        <w:spacing w:before="240" w:after="0" w:line="480" w:lineRule="auto"/>
        <w:jc w:val="both"/>
      </w:pPr>
      <w:r>
        <w:rPr>
          <w:rFonts w:ascii="Times New Roman" w:hAnsi="Times New Roman"/>
          <w:b w:val="0"/>
          <w:color w:val="000000"/>
          <w:sz w:val="24"/>
        </w:rPr>
        <w:t>Three conditions must be distinguished. The original production snapshot lost evidence and completed no positive answers. A subsequent research-only exact-fit diagnostic tested the proposed mechanism. The current production repair is verified through a new 64-request replay without fitter substitution. The same corpus and question pairs are reused; improvement is development evidence, not held-out confirmation.</w:t>
      </w:r>
    </w:p>
    <w:p>
      <w:pPr>
        <w:keepNext w:val="0"/>
        <w:keepLines w:val="0"/>
        <w:spacing w:before="240" w:after="0" w:line="480" w:lineRule="auto"/>
        <w:jc w:val="both"/>
      </w:pPr>
      <w:r>
        <w:rPr>
          <w:rFonts w:ascii="Times New Roman" w:hAnsi="Times New Roman"/>
          <w:b w:val="0"/>
          <w:color w:val="000000"/>
          <w:sz w:val="24"/>
        </w:rPr>
        <w:t>Scoring uses accepted aliases and exact expected source paths. Complete evidence success requires all requested facts in matching source chunks. All-fact value match requires every requested value in an answer; macro FVM averages matched fractions per positive question. Neither proves semantic entailment or penalizes every contradiction. The small synthetic project families also limit independence and generalization. Historical retrieval, summary and resource results are labeled separately from the production repair replay.</w:t>
      </w:r>
    </w:p>
    <w:p>
      <w:pPr>
        <w:keepNext/>
        <w:keepLines w:val="0"/>
        <w:pageBreakBefore/>
        <w:spacing w:before="0" w:after="200" w:line="276" w:lineRule="auto"/>
        <w:jc w:val="left"/>
      </w:pPr>
      <w:r>
        <w:rPr>
          <w:rFonts w:ascii="Times New Roman" w:hAnsi="Times New Roman"/>
          <w:b/>
          <w:color w:val="000000"/>
          <w:sz w:val="24"/>
        </w:rPr>
        <w:t>5.1.1 Retrieval evidence coverage</w:t>
      </w:r>
    </w:p>
    <w:p>
      <w:pPr>
        <w:keepNext w:val="0"/>
        <w:keepLines w:val="0"/>
        <w:spacing w:before="240" w:after="0" w:line="480" w:lineRule="auto"/>
        <w:jc w:val="both"/>
      </w:pPr>
      <w:r>
        <w:rPr>
          <w:rFonts w:ascii="Times New Roman" w:hAnsi="Times New Roman"/>
          <w:b w:val="0"/>
          <w:color w:val="000000"/>
          <w:sz w:val="24"/>
        </w:rPr>
        <w:t>The unchanged frozen retrieval experiment measures Complete Evidence Success at five candidates (CES@5). Each expected fact needs an accepted alias in a chunk from its exact labeled source path. Lexical and hybrid retrieval meet this criterion on all 96 queries; dense retrieval meets it on 91. Its five misses occur among paraphrase questions. These figures describe retrieval evidence, not final answers.</w:t>
      </w:r>
    </w:p>
    <w:p>
      <w:pPr>
        <w:keepNext/>
        <w:keepLines w:val="0"/>
        <w:spacing w:before="160" w:after="120" w:line="276" w:lineRule="auto"/>
        <w:jc w:val="center"/>
      </w:pPr>
      <w:r>
        <w:rPr>
          <w:rFonts w:ascii="Times New Roman" w:hAnsi="Times New Roman"/>
          <w:b w:val="0"/>
          <w:color w:val="000000"/>
          <w:sz w:val="22"/>
        </w:rPr>
        <w:t>Table 5.1 Retrieval on 96 synthetic queries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2866"/>
        <w:gridCol w:w="2866"/>
        <w:gridCol w:w="2866"/>
      </w:tblGrid>
      <w:tr>
        <w:trPr>
          <w:cantSplit/>
          <w:tblHeader/>
        </w:trPr>
        <w:tc>
          <w:tcPr>
            <w:tcW w:type="dxa" w:w="2866"/>
            <w:vAlign w:val="center"/>
            <w:shd w:fill="EFEFEF"/>
          </w:tcPr>
          <w:p>
            <w:pPr>
              <w:spacing w:before="0" w:after="0" w:line="276" w:lineRule="auto"/>
              <w:jc w:val="left"/>
            </w:pPr>
            <w:r>
              <w:rPr>
                <w:rFonts w:ascii="Times New Roman" w:hAnsi="Times New Roman"/>
                <w:b/>
                <w:color w:val="000000"/>
                <w:sz w:val="22"/>
              </w:rPr>
              <w:t>Retriever</w:t>
            </w:r>
          </w:p>
        </w:tc>
        <w:tc>
          <w:tcPr>
            <w:tcW w:type="dxa" w:w="2866"/>
            <w:vAlign w:val="center"/>
            <w:shd w:fill="EFEFEF"/>
          </w:tcPr>
          <w:p>
            <w:pPr>
              <w:spacing w:before="0" w:after="0" w:line="276" w:lineRule="auto"/>
              <w:jc w:val="center"/>
            </w:pPr>
            <w:r>
              <w:rPr>
                <w:rFonts w:ascii="Times New Roman" w:hAnsi="Times New Roman"/>
                <w:b/>
                <w:color w:val="000000"/>
                <w:sz w:val="22"/>
              </w:rPr>
              <w:t>CES@5</w:t>
            </w:r>
          </w:p>
        </w:tc>
        <w:tc>
          <w:tcPr>
            <w:tcW w:type="dxa" w:w="2866"/>
            <w:vAlign w:val="center"/>
            <w:shd w:fill="EFEFEF"/>
          </w:tcPr>
          <w:p>
            <w:pPr>
              <w:spacing w:before="0" w:after="0" w:line="276" w:lineRule="auto"/>
              <w:jc w:val="center"/>
            </w:pPr>
            <w:r>
              <w:rPr>
                <w:rFonts w:ascii="Times New Roman" w:hAnsi="Times New Roman"/>
                <w:b/>
                <w:color w:val="000000"/>
                <w:sz w:val="22"/>
              </w:rPr>
              <w:t>MRR@10</w:t>
            </w:r>
          </w:p>
        </w:tc>
      </w:tr>
      <w:tr>
        <w:trPr>
          <w:cantSplit/>
        </w:trPr>
        <w:tc>
          <w:tcPr>
            <w:tcW w:type="dxa" w:w="2866"/>
            <w:vAlign w:val="center"/>
          </w:tcPr>
          <w:p>
            <w:pPr>
              <w:spacing w:before="0" w:after="0" w:line="276" w:lineRule="auto"/>
              <w:jc w:val="left"/>
            </w:pPr>
            <w:r>
              <w:rPr>
                <w:rFonts w:ascii="Times New Roman" w:hAnsi="Times New Roman"/>
                <w:b w:val="0"/>
                <w:color w:val="000000"/>
                <w:sz w:val="22"/>
              </w:rPr>
              <w:t>Lexical FTS5</w:t>
            </w:r>
          </w:p>
        </w:tc>
        <w:tc>
          <w:tcPr>
            <w:tcW w:type="dxa" w:w="2866"/>
            <w:vAlign w:val="center"/>
          </w:tcPr>
          <w:p>
            <w:pPr>
              <w:spacing w:before="0" w:after="0" w:line="276" w:lineRule="auto"/>
              <w:jc w:val="center"/>
            </w:pPr>
            <w:r>
              <w:rPr>
                <w:rFonts w:ascii="Times New Roman" w:hAnsi="Times New Roman"/>
                <w:b w:val="0"/>
                <w:color w:val="000000"/>
                <w:sz w:val="22"/>
              </w:rPr>
              <w:t>96/96</w:t>
            </w:r>
          </w:p>
        </w:tc>
        <w:tc>
          <w:tcPr>
            <w:tcW w:type="dxa" w:w="2866"/>
            <w:vAlign w:val="center"/>
          </w:tcPr>
          <w:p>
            <w:pPr>
              <w:spacing w:before="0" w:after="0" w:line="276" w:lineRule="auto"/>
              <w:jc w:val="center"/>
            </w:pPr>
            <w:r>
              <w:rPr>
                <w:rFonts w:ascii="Times New Roman" w:hAnsi="Times New Roman"/>
                <w:b w:val="0"/>
                <w:color w:val="000000"/>
                <w:sz w:val="22"/>
              </w:rPr>
              <w:t>0.9948</w:t>
            </w:r>
          </w:p>
        </w:tc>
      </w:tr>
      <w:tr>
        <w:trPr>
          <w:cantSplit/>
        </w:trPr>
        <w:tc>
          <w:tcPr>
            <w:tcW w:type="dxa" w:w="2866"/>
            <w:vAlign w:val="center"/>
          </w:tcPr>
          <w:p>
            <w:pPr>
              <w:spacing w:before="0" w:after="0" w:line="276" w:lineRule="auto"/>
              <w:jc w:val="left"/>
            </w:pPr>
            <w:r>
              <w:rPr>
                <w:rFonts w:ascii="Times New Roman" w:hAnsi="Times New Roman"/>
                <w:b w:val="0"/>
                <w:color w:val="000000"/>
                <w:sz w:val="22"/>
              </w:rPr>
              <w:t>Dense cosine</w:t>
            </w:r>
          </w:p>
        </w:tc>
        <w:tc>
          <w:tcPr>
            <w:tcW w:type="dxa" w:w="2866"/>
            <w:vAlign w:val="center"/>
          </w:tcPr>
          <w:p>
            <w:pPr>
              <w:spacing w:before="0" w:after="0" w:line="276" w:lineRule="auto"/>
              <w:jc w:val="center"/>
            </w:pPr>
            <w:r>
              <w:rPr>
                <w:rFonts w:ascii="Times New Roman" w:hAnsi="Times New Roman"/>
                <w:b w:val="0"/>
                <w:color w:val="000000"/>
                <w:sz w:val="22"/>
              </w:rPr>
              <w:t>91/96</w:t>
            </w:r>
          </w:p>
        </w:tc>
        <w:tc>
          <w:tcPr>
            <w:tcW w:type="dxa" w:w="2866"/>
            <w:vAlign w:val="center"/>
          </w:tcPr>
          <w:p>
            <w:pPr>
              <w:spacing w:before="0" w:after="0" w:line="276" w:lineRule="auto"/>
              <w:jc w:val="center"/>
            </w:pPr>
            <w:r>
              <w:rPr>
                <w:rFonts w:ascii="Times New Roman" w:hAnsi="Times New Roman"/>
                <w:b w:val="0"/>
                <w:color w:val="000000"/>
                <w:sz w:val="22"/>
              </w:rPr>
              <w:t>0.8755</w:t>
            </w:r>
          </w:p>
        </w:tc>
      </w:tr>
      <w:tr>
        <w:trPr>
          <w:cantSplit/>
        </w:trPr>
        <w:tc>
          <w:tcPr>
            <w:tcW w:type="dxa" w:w="2866"/>
            <w:vAlign w:val="center"/>
          </w:tcPr>
          <w:p>
            <w:pPr>
              <w:spacing w:before="0" w:after="0" w:line="276" w:lineRule="auto"/>
              <w:jc w:val="left"/>
            </w:pPr>
            <w:r>
              <w:rPr>
                <w:rFonts w:ascii="Times New Roman" w:hAnsi="Times New Roman"/>
                <w:b w:val="0"/>
                <w:color w:val="000000"/>
                <w:sz w:val="22"/>
              </w:rPr>
              <w:t>Hybrid RRF</w:t>
            </w:r>
          </w:p>
        </w:tc>
        <w:tc>
          <w:tcPr>
            <w:tcW w:type="dxa" w:w="2866"/>
            <w:vAlign w:val="center"/>
          </w:tcPr>
          <w:p>
            <w:pPr>
              <w:spacing w:before="0" w:after="0" w:line="276" w:lineRule="auto"/>
              <w:jc w:val="center"/>
            </w:pPr>
            <w:r>
              <w:rPr>
                <w:rFonts w:ascii="Times New Roman" w:hAnsi="Times New Roman"/>
                <w:b w:val="0"/>
                <w:color w:val="000000"/>
                <w:sz w:val="22"/>
              </w:rPr>
              <w:t>96/96</w:t>
            </w:r>
          </w:p>
        </w:tc>
        <w:tc>
          <w:tcPr>
            <w:tcW w:type="dxa" w:w="2866"/>
            <w:vAlign w:val="center"/>
          </w:tcPr>
          <w:p>
            <w:pPr>
              <w:spacing w:before="0" w:after="0" w:line="276" w:lineRule="auto"/>
              <w:jc w:val="center"/>
            </w:pPr>
            <w:r>
              <w:rPr>
                <w:rFonts w:ascii="Times New Roman" w:hAnsi="Times New Roman"/>
                <w:b w:val="0"/>
                <w:color w:val="000000"/>
                <w:sz w:val="22"/>
              </w:rPr>
              <w:t>0.9495</w:t>
            </w:r>
          </w:p>
        </w:tc>
      </w:tr>
    </w:tbl>
    <w:p>
      <w:pPr>
        <w:keepNext w:val="0"/>
        <w:keepLines w:val="0"/>
        <w:spacing w:before="240" w:after="0" w:line="480" w:lineRule="auto"/>
        <w:jc w:val="both"/>
      </w:pPr>
      <w:r>
        <w:rPr>
          <w:rFonts w:ascii="Times New Roman" w:hAnsi="Times New Roman"/>
          <w:b w:val="0"/>
          <w:color w:val="000000"/>
          <w:sz w:val="24"/>
        </w:rPr>
        <w:t>Hybrid retrieval does not outperform lexical retrieval here. MRR uses the first chunk containing any expected fact, not all cross-document facts. Median production ranking takes 4.02 ms lexical and 4.76 ms hybrid, excluding query embedding (13.60 ms median). Dense control rankings are computed in memory and are not comparable service-latency measurements.</w:t>
      </w:r>
    </w:p>
    <w:p>
      <w:pPr>
        <w:keepNext w:val="0"/>
        <w:keepLines w:val="0"/>
        <w:spacing w:before="240" w:after="0" w:line="480" w:lineRule="auto"/>
        <w:jc w:val="both"/>
      </w:pPr>
      <w:r>
        <w:rPr>
          <w:rFonts w:ascii="Times New Roman" w:hAnsi="Times New Roman"/>
          <w:b w:val="0"/>
          <w:color w:val="000000"/>
          <w:sz w:val="24"/>
        </w:rPr>
        <w:t>The result supports an inexpensive inspectable search layer for this workload. It does not establish performance on OCR, multilingual notes, large code repositories, ambiguous names or personal archives. Those require separate datasets and relevance judgments.</w:t>
      </w:r>
    </w:p>
    <w:p>
      <w:pPr>
        <w:keepNext/>
        <w:keepLines w:val="0"/>
        <w:pageBreakBefore/>
        <w:spacing w:before="0" w:after="200" w:line="276" w:lineRule="auto"/>
        <w:jc w:val="left"/>
      </w:pPr>
      <w:r>
        <w:rPr>
          <w:rFonts w:ascii="Times New Roman" w:hAnsi="Times New Roman"/>
          <w:b/>
          <w:color w:val="000000"/>
          <w:sz w:val="24"/>
        </w:rPr>
        <w:t>5.1.2 Historical factual-answer baseline</w:t>
      </w:r>
    </w:p>
    <w:p>
      <w:pPr>
        <w:keepNext w:val="0"/>
        <w:keepLines w:val="0"/>
        <w:spacing w:before="240" w:after="0" w:line="480" w:lineRule="auto"/>
        <w:jc w:val="both"/>
      </w:pPr>
      <w:r>
        <w:rPr>
          <w:rFonts w:ascii="Times New Roman" w:hAnsi="Times New Roman"/>
          <w:b w:val="0"/>
          <w:color w:val="000000"/>
          <w:sz w:val="24"/>
        </w:rPr>
        <w:t>Before the production repair, both single-pass RAG and the MCP agent matched no complete answers among 24 positive questions. Macro fact-value match was also zero. Each method returned the requested abstention phrase on all eight unknown questions and on every positive question. These are historical results of the original snapshot, not the current repaired application.</w:t>
      </w:r>
    </w:p>
    <w:p>
      <w:pPr>
        <w:keepNext w:val="0"/>
        <w:keepLines w:val="0"/>
        <w:spacing w:before="240" w:after="0" w:line="480" w:lineRule="auto"/>
        <w:jc w:val="both"/>
      </w:pPr>
      <w:r>
        <w:rPr>
          <w:rFonts w:ascii="Times New Roman" w:hAnsi="Times New Roman"/>
          <w:b w:val="0"/>
          <w:color w:val="000000"/>
          <w:sz w:val="24"/>
        </w:rPr>
        <w:t>The requests completed without runtime exceptions, but their document-evidence messages did not survive context fitting. Source cards and successful MCP transport therefore coexisted with absent model input. No additional model-selected tool call executed beyond the agent’s initial search and recall. The baseline is preserved in its original result directory so that the later diagnostic and production repair cannot silently replace an unsuccessful outcome.</w:t>
      </w:r>
    </w:p>
    <w:p>
      <w:pPr>
        <w:keepNext/>
        <w:keepLines w:val="0"/>
        <w:spacing w:before="160" w:after="120" w:line="276" w:lineRule="auto"/>
        <w:jc w:val="center"/>
      </w:pPr>
      <w:r>
        <w:rPr>
          <w:rFonts w:ascii="Times New Roman" w:hAnsi="Times New Roman"/>
          <w:b w:val="0"/>
          <w:color w:val="000000"/>
          <w:sz w:val="22"/>
        </w:rPr>
        <w:t>Table 5.2 Historical generation outcomes before repair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2866"/>
        <w:gridCol w:w="2866"/>
        <w:gridCol w:w="2866"/>
      </w:tblGrid>
      <w:tr>
        <w:trPr>
          <w:cantSplit/>
          <w:tblHeader/>
        </w:trPr>
        <w:tc>
          <w:tcPr>
            <w:tcW w:type="dxa" w:w="2866"/>
            <w:vAlign w:val="center"/>
            <w:shd w:fill="EFEFEF"/>
          </w:tcPr>
          <w:p>
            <w:pPr>
              <w:spacing w:before="0" w:after="0" w:line="276" w:lineRule="auto"/>
              <w:jc w:val="left"/>
            </w:pPr>
            <w:r>
              <w:rPr>
                <w:rFonts w:ascii="Times New Roman" w:hAnsi="Times New Roman"/>
                <w:b/>
                <w:color w:val="000000"/>
                <w:sz w:val="22"/>
              </w:rPr>
              <w:t>Historical condition</w:t>
            </w:r>
          </w:p>
        </w:tc>
        <w:tc>
          <w:tcPr>
            <w:tcW w:type="dxa" w:w="2866"/>
            <w:vAlign w:val="center"/>
            <w:shd w:fill="EFEFEF"/>
          </w:tcPr>
          <w:p>
            <w:pPr>
              <w:spacing w:before="0" w:after="0" w:line="276" w:lineRule="auto"/>
              <w:jc w:val="center"/>
            </w:pPr>
            <w:r>
              <w:rPr>
                <w:rFonts w:ascii="Times New Roman" w:hAnsi="Times New Roman"/>
                <w:b/>
                <w:color w:val="000000"/>
                <w:sz w:val="22"/>
              </w:rPr>
              <w:t>Complete positives</w:t>
            </w:r>
          </w:p>
        </w:tc>
        <w:tc>
          <w:tcPr>
            <w:tcW w:type="dxa" w:w="2866"/>
            <w:vAlign w:val="center"/>
            <w:shd w:fill="EFEFEF"/>
          </w:tcPr>
          <w:p>
            <w:pPr>
              <w:spacing w:before="0" w:after="0" w:line="276" w:lineRule="auto"/>
              <w:jc w:val="center"/>
            </w:pPr>
            <w:r>
              <w:rPr>
                <w:rFonts w:ascii="Times New Roman" w:hAnsi="Times New Roman"/>
                <w:b/>
                <w:color w:val="000000"/>
                <w:sz w:val="22"/>
              </w:rPr>
              <w:t>Unknown abstentions</w:t>
            </w:r>
          </w:p>
        </w:tc>
      </w:tr>
      <w:tr>
        <w:trPr>
          <w:cantSplit/>
        </w:trPr>
        <w:tc>
          <w:tcPr>
            <w:tcW w:type="dxa" w:w="2866"/>
            <w:vAlign w:val="center"/>
          </w:tcPr>
          <w:p>
            <w:pPr>
              <w:spacing w:before="0" w:after="0" w:line="276" w:lineRule="auto"/>
              <w:jc w:val="left"/>
            </w:pPr>
            <w:r>
              <w:rPr>
                <w:rFonts w:ascii="Times New Roman" w:hAnsi="Times New Roman"/>
                <w:b w:val="0"/>
                <w:color w:val="000000"/>
                <w:sz w:val="22"/>
              </w:rPr>
              <w:t>Original single-pass RAG</w:t>
            </w:r>
          </w:p>
        </w:tc>
        <w:tc>
          <w:tcPr>
            <w:tcW w:type="dxa" w:w="2866"/>
            <w:vAlign w:val="center"/>
          </w:tcPr>
          <w:p>
            <w:pPr>
              <w:spacing w:before="0" w:after="0" w:line="276" w:lineRule="auto"/>
              <w:jc w:val="center"/>
            </w:pPr>
            <w:r>
              <w:rPr>
                <w:rFonts w:ascii="Times New Roman" w:hAnsi="Times New Roman"/>
                <w:b w:val="0"/>
                <w:color w:val="000000"/>
                <w:sz w:val="22"/>
              </w:rPr>
              <w:t>0/24</w:t>
            </w:r>
          </w:p>
        </w:tc>
        <w:tc>
          <w:tcPr>
            <w:tcW w:type="dxa" w:w="2866"/>
            <w:vAlign w:val="center"/>
          </w:tcPr>
          <w:p>
            <w:pPr>
              <w:spacing w:before="0" w:after="0" w:line="276" w:lineRule="auto"/>
              <w:jc w:val="center"/>
            </w:pPr>
            <w:r>
              <w:rPr>
                <w:rFonts w:ascii="Times New Roman" w:hAnsi="Times New Roman"/>
                <w:b w:val="0"/>
                <w:color w:val="000000"/>
                <w:sz w:val="22"/>
              </w:rPr>
              <w:t>8/8</w:t>
            </w:r>
          </w:p>
        </w:tc>
      </w:tr>
      <w:tr>
        <w:trPr>
          <w:cantSplit/>
        </w:trPr>
        <w:tc>
          <w:tcPr>
            <w:tcW w:type="dxa" w:w="2866"/>
            <w:vAlign w:val="center"/>
          </w:tcPr>
          <w:p>
            <w:pPr>
              <w:spacing w:before="0" w:after="0" w:line="276" w:lineRule="auto"/>
              <w:jc w:val="left"/>
            </w:pPr>
            <w:r>
              <w:rPr>
                <w:rFonts w:ascii="Times New Roman" w:hAnsi="Times New Roman"/>
                <w:b w:val="0"/>
                <w:color w:val="000000"/>
                <w:sz w:val="22"/>
              </w:rPr>
              <w:t>Original MCP agent</w:t>
            </w:r>
          </w:p>
        </w:tc>
        <w:tc>
          <w:tcPr>
            <w:tcW w:type="dxa" w:w="2866"/>
            <w:vAlign w:val="center"/>
          </w:tcPr>
          <w:p>
            <w:pPr>
              <w:spacing w:before="0" w:after="0" w:line="276" w:lineRule="auto"/>
              <w:jc w:val="center"/>
            </w:pPr>
            <w:r>
              <w:rPr>
                <w:rFonts w:ascii="Times New Roman" w:hAnsi="Times New Roman"/>
                <w:b w:val="0"/>
                <w:color w:val="000000"/>
                <w:sz w:val="22"/>
              </w:rPr>
              <w:t>0/24</w:t>
            </w:r>
          </w:p>
        </w:tc>
        <w:tc>
          <w:tcPr>
            <w:tcW w:type="dxa" w:w="2866"/>
            <w:vAlign w:val="center"/>
          </w:tcPr>
          <w:p>
            <w:pPr>
              <w:spacing w:before="0" w:after="0" w:line="276" w:lineRule="auto"/>
              <w:jc w:val="center"/>
            </w:pPr>
            <w:r>
              <w:rPr>
                <w:rFonts w:ascii="Times New Roman" w:hAnsi="Times New Roman"/>
                <w:b w:val="0"/>
                <w:color w:val="000000"/>
                <w:sz w:val="22"/>
              </w:rPr>
              <w:t>8/8</w:t>
            </w:r>
          </w:p>
        </w:tc>
      </w:tr>
    </w:tbl>
    <w:p>
      <w:pPr>
        <w:keepNext w:val="0"/>
        <w:keepLines w:val="0"/>
        <w:spacing w:before="240" w:after="0" w:line="480" w:lineRule="auto"/>
        <w:jc w:val="both"/>
      </w:pPr>
      <w:r>
        <w:rPr>
          <w:rFonts w:ascii="Times New Roman" w:hAnsi="Times New Roman"/>
          <w:b w:val="0"/>
          <w:color w:val="000000"/>
          <w:sz w:val="24"/>
        </w:rPr>
        <w:t>The 24 positives are clustered within synthetic project families and do not establish an arbitrary-drive population failure rate. The relevant engineering result is narrower: the original evidence-delivery implementation failed on this sample. The current replay reported next uses separately recorded repaired production code.</w:t>
      </w:r>
    </w:p>
    <w:p>
      <w:pPr>
        <w:keepNext/>
        <w:keepLines w:val="0"/>
        <w:pageBreakBefore/>
        <w:spacing w:before="0" w:after="200" w:line="276" w:lineRule="auto"/>
        <w:jc w:val="left"/>
      </w:pPr>
      <w:r>
        <w:rPr>
          <w:rFonts w:ascii="Times New Roman" w:hAnsi="Times New Roman"/>
          <w:b/>
          <w:color w:val="000000"/>
          <w:sz w:val="24"/>
        </w:rPr>
        <w:t>5.1.3 Evidence delivery and context audit</w:t>
      </w:r>
    </w:p>
    <w:p>
      <w:pPr>
        <w:keepNext w:val="0"/>
        <w:keepLines w:val="0"/>
        <w:spacing w:before="240" w:after="0" w:line="480" w:lineRule="auto"/>
        <w:jc w:val="both"/>
      </w:pPr>
      <w:r>
        <w:rPr>
          <w:rFonts w:ascii="Times New Roman" w:hAnsi="Times New Roman"/>
          <w:b w:val="0"/>
          <w:color w:val="000000"/>
          <w:sz w:val="24"/>
        </w:rPr>
        <w:t>The historical audit found all 32 required fact slots in full returned passages for 24 positive questions. Keeping only the first 1,000 characters per passage reduced coverage to 15/32 slots and seven complete questions. Approximate context fitting then removed the entire evidence block, leaving zero slots. Figure 5.1 documents that earlier failure and research diagnostic.</w:t>
      </w:r>
    </w:p>
    <w:p>
      <w:pPr>
        <w:keepNext w:val="0"/>
        <w:keepLines w:val="0"/>
        <w:spacing w:before="240" w:after="0" w:line="480" w:lineRule="auto"/>
        <w:jc w:val="both"/>
      </w:pPr>
      <w:r>
        <w:rPr>
          <w:rFonts w:ascii="Times New Roman" w:hAnsi="Times New Roman"/>
          <w:b w:val="0"/>
          <w:color w:val="000000"/>
          <w:sz w:val="24"/>
        </w:rPr>
        <w:t>The production repair now finds the longest complete-character prefix that fits the actual serialized UTF-8 message cost. Accounting includes JSON escaping, metadata, the shortening marker and tool schemas, while preserving pinned system and current-user messages. It removes fixed small-budget rejection heuristics and keeps tool-call metadata whole. All 64 production replay requests retain initial reference input and satisfy the configured serialized-input bound.</w:t>
      </w:r>
    </w:p>
    <w:p>
      <w:pPr>
        <w:keepNext/>
        <w:keepLines w:val="0"/>
        <w:spacing w:before="160" w:after="0" w:line="240" w:lineRule="auto"/>
        <w:jc w:val="center"/>
      </w:pPr>
      <w:r>
        <w:rPr>
          <w:rFonts w:ascii="Times New Roman" w:hAnsi="Times New Roman"/>
          <w:b w:val="0"/>
          <w:color w:val="000000"/>
          <w:sz w:val="24"/>
        </w:rPr>
      </w:r>
      <w:r>
        <w:drawing>
          <wp:inline xmlns:a="http://schemas.openxmlformats.org/drawingml/2006/main" xmlns:pic="http://schemas.openxmlformats.org/drawingml/2006/picture">
            <wp:extent cx="4297680" cy="3035085"/>
            <wp:docPr id="18" name="Picture 18"/>
            <wp:cNvGraphicFramePr>
              <a:graphicFrameLocks noChangeAspect="1"/>
            </wp:cNvGraphicFramePr>
            <a:graphic>
              <a:graphicData uri="http://schemas.openxmlformats.org/drawingml/2006/picture">
                <pic:pic>
                  <pic:nvPicPr>
                    <pic:cNvPr id="0" name="context.png"/>
                    <pic:cNvPicPr/>
                  </pic:nvPicPr>
                  <pic:blipFill>
                    <a:blip r:embed="rId18"/>
                    <a:stretch>
                      <a:fillRect/>
                    </a:stretch>
                  </pic:blipFill>
                  <pic:spPr>
                    <a:xfrm>
                      <a:off x="0" y="0"/>
                      <a:ext cx="4297680" cy="3035085"/>
                    </a:xfrm>
                    <a:prstGeom prst="rect"/>
                  </pic:spPr>
                </pic:pic>
              </a:graphicData>
            </a:graphic>
          </wp:inline>
        </w:drawing>
      </w:r>
    </w:p>
    <w:p>
      <w:pPr>
        <w:keepNext w:val="0"/>
        <w:keepLines w:val="0"/>
        <w:spacing w:before="80" w:after="80" w:line="276" w:lineRule="auto"/>
        <w:jc w:val="center"/>
      </w:pPr>
      <w:r>
        <w:rPr>
          <w:rFonts w:ascii="Times New Roman" w:hAnsi="Times New Roman"/>
          <w:b w:val="0"/>
          <w:color w:val="000000"/>
          <w:sz w:val="22"/>
        </w:rPr>
        <w:t>Figure 5.1 Historical evidence loss and earlier research diagnostic</w:t>
      </w:r>
    </w:p>
    <w:p>
      <w:pPr>
        <w:keepNext/>
        <w:keepLines w:val="0"/>
        <w:pageBreakBefore/>
        <w:spacing w:before="0" w:after="200" w:line="276" w:lineRule="auto"/>
        <w:jc w:val="left"/>
      </w:pPr>
      <w:r>
        <w:rPr>
          <w:rFonts w:ascii="Times New Roman" w:hAnsi="Times New Roman"/>
          <w:b/>
          <w:color w:val="000000"/>
          <w:sz w:val="24"/>
        </w:rPr>
        <w:t>5.1.4 Production context repair and replay</w:t>
      </w:r>
    </w:p>
    <w:p>
      <w:pPr>
        <w:keepNext w:val="0"/>
        <w:keepLines w:val="0"/>
        <w:spacing w:before="240" w:after="0" w:line="480" w:lineRule="auto"/>
        <w:jc w:val="both"/>
      </w:pPr>
      <w:r>
        <w:rPr>
          <w:rFonts w:ascii="Times New Roman" w:hAnsi="Times New Roman"/>
          <w:b w:val="0"/>
          <w:color w:val="000000"/>
          <w:sz w:val="24"/>
        </w:rPr>
        <w:t>The new replay exercises actual repaired production code with real MCP calls and no diagnostic fitter substitution. Both methods answer the same 24 positives and eight unknowns used earlier. All 64 requests retain initial reference evidence, remain within the configured serialized-input bound and complete without request errors.</w:t>
      </w:r>
    </w:p>
    <w:p>
      <w:pPr>
        <w:keepNext/>
        <w:keepLines w:val="0"/>
        <w:spacing w:before="160" w:after="120" w:line="276" w:lineRule="auto"/>
        <w:jc w:val="center"/>
      </w:pPr>
      <w:r>
        <w:rPr>
          <w:rFonts w:ascii="Times New Roman" w:hAnsi="Times New Roman"/>
          <w:b w:val="0"/>
          <w:color w:val="000000"/>
          <w:sz w:val="22"/>
        </w:rPr>
        <w:t>Table 5.3 Historical baseline and production repair outcomes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2866"/>
        <w:gridCol w:w="2866"/>
        <w:gridCol w:w="2866"/>
      </w:tblGrid>
      <w:tr>
        <w:trPr>
          <w:cantSplit/>
          <w:tblHeader/>
        </w:trPr>
        <w:tc>
          <w:tcPr>
            <w:tcW w:type="dxa" w:w="2866"/>
            <w:vAlign w:val="center"/>
            <w:shd w:fill="EFEFEF"/>
          </w:tcPr>
          <w:p>
            <w:pPr>
              <w:spacing w:before="0" w:after="0" w:line="276" w:lineRule="auto"/>
              <w:jc w:val="left"/>
            </w:pPr>
            <w:r>
              <w:rPr>
                <w:rFonts w:ascii="Times New Roman" w:hAnsi="Times New Roman"/>
                <w:b/>
                <w:color w:val="000000"/>
                <w:sz w:val="22"/>
              </w:rPr>
              <w:t>Condition</w:t>
            </w:r>
          </w:p>
        </w:tc>
        <w:tc>
          <w:tcPr>
            <w:tcW w:type="dxa" w:w="2866"/>
            <w:vAlign w:val="center"/>
            <w:shd w:fill="EFEFEF"/>
          </w:tcPr>
          <w:p>
            <w:pPr>
              <w:spacing w:before="0" w:after="0" w:line="276" w:lineRule="auto"/>
              <w:jc w:val="center"/>
            </w:pPr>
            <w:r>
              <w:rPr>
                <w:rFonts w:ascii="Times New Roman" w:hAnsi="Times New Roman"/>
                <w:b/>
                <w:color w:val="000000"/>
                <w:sz w:val="22"/>
              </w:rPr>
              <w:t>Complete positives</w:t>
            </w:r>
          </w:p>
        </w:tc>
        <w:tc>
          <w:tcPr>
            <w:tcW w:type="dxa" w:w="2866"/>
            <w:vAlign w:val="center"/>
            <w:shd w:fill="EFEFEF"/>
          </w:tcPr>
          <w:p>
            <w:pPr>
              <w:spacing w:before="0" w:after="0" w:line="276" w:lineRule="auto"/>
              <w:jc w:val="center"/>
            </w:pPr>
            <w:r>
              <w:rPr>
                <w:rFonts w:ascii="Times New Roman" w:hAnsi="Times New Roman"/>
                <w:b/>
                <w:color w:val="000000"/>
                <w:sz w:val="22"/>
              </w:rPr>
              <w:t>Macro FVM</w:t>
            </w:r>
          </w:p>
        </w:tc>
      </w:tr>
      <w:tr>
        <w:trPr>
          <w:cantSplit/>
        </w:trPr>
        <w:tc>
          <w:tcPr>
            <w:tcW w:type="dxa" w:w="2866"/>
            <w:vAlign w:val="center"/>
          </w:tcPr>
          <w:p>
            <w:pPr>
              <w:spacing w:before="0" w:after="0" w:line="276" w:lineRule="auto"/>
              <w:jc w:val="left"/>
            </w:pPr>
            <w:r>
              <w:rPr>
                <w:rFonts w:ascii="Times New Roman" w:hAnsi="Times New Roman"/>
                <w:b w:val="0"/>
                <w:color w:val="000000"/>
                <w:sz w:val="22"/>
              </w:rPr>
              <w:t>Historical single-pass</w:t>
            </w:r>
          </w:p>
        </w:tc>
        <w:tc>
          <w:tcPr>
            <w:tcW w:type="dxa" w:w="2866"/>
            <w:vAlign w:val="center"/>
          </w:tcPr>
          <w:p>
            <w:pPr>
              <w:spacing w:before="0" w:after="0" w:line="276" w:lineRule="auto"/>
              <w:jc w:val="center"/>
            </w:pPr>
            <w:r>
              <w:rPr>
                <w:rFonts w:ascii="Times New Roman" w:hAnsi="Times New Roman"/>
                <w:b w:val="0"/>
                <w:color w:val="000000"/>
                <w:sz w:val="22"/>
              </w:rPr>
              <w:t>0/24</w:t>
            </w:r>
          </w:p>
        </w:tc>
        <w:tc>
          <w:tcPr>
            <w:tcW w:type="dxa" w:w="2866"/>
            <w:vAlign w:val="center"/>
          </w:tcPr>
          <w:p>
            <w:pPr>
              <w:spacing w:before="0" w:after="0" w:line="276" w:lineRule="auto"/>
              <w:jc w:val="center"/>
            </w:pPr>
            <w:r>
              <w:rPr>
                <w:rFonts w:ascii="Times New Roman" w:hAnsi="Times New Roman"/>
                <w:b w:val="0"/>
                <w:color w:val="000000"/>
                <w:sz w:val="22"/>
              </w:rPr>
              <w:t>0%</w:t>
            </w:r>
          </w:p>
        </w:tc>
      </w:tr>
      <w:tr>
        <w:trPr>
          <w:cantSplit/>
        </w:trPr>
        <w:tc>
          <w:tcPr>
            <w:tcW w:type="dxa" w:w="2866"/>
            <w:vAlign w:val="center"/>
          </w:tcPr>
          <w:p>
            <w:pPr>
              <w:spacing w:before="0" w:after="0" w:line="276" w:lineRule="auto"/>
              <w:jc w:val="left"/>
            </w:pPr>
            <w:r>
              <w:rPr>
                <w:rFonts w:ascii="Times New Roman" w:hAnsi="Times New Roman"/>
                <w:b w:val="0"/>
                <w:color w:val="000000"/>
                <w:sz w:val="22"/>
              </w:rPr>
              <w:t>Repaired single-pass</w:t>
            </w:r>
          </w:p>
        </w:tc>
        <w:tc>
          <w:tcPr>
            <w:tcW w:type="dxa" w:w="2866"/>
            <w:vAlign w:val="center"/>
          </w:tcPr>
          <w:p>
            <w:pPr>
              <w:spacing w:before="0" w:after="0" w:line="276" w:lineRule="auto"/>
              <w:jc w:val="center"/>
            </w:pPr>
            <w:r>
              <w:rPr>
                <w:rFonts w:ascii="Times New Roman" w:hAnsi="Times New Roman"/>
                <w:b w:val="0"/>
                <w:color w:val="000000"/>
                <w:sz w:val="22"/>
              </w:rPr>
              <w:t>7/24 (29.17%)</w:t>
            </w:r>
          </w:p>
        </w:tc>
        <w:tc>
          <w:tcPr>
            <w:tcW w:type="dxa" w:w="2866"/>
            <w:vAlign w:val="center"/>
          </w:tcPr>
          <w:p>
            <w:pPr>
              <w:spacing w:before="0" w:after="0" w:line="276" w:lineRule="auto"/>
              <w:jc w:val="center"/>
            </w:pPr>
            <w:r>
              <w:rPr>
                <w:rFonts w:ascii="Times New Roman" w:hAnsi="Times New Roman"/>
                <w:b w:val="0"/>
                <w:color w:val="000000"/>
                <w:sz w:val="22"/>
              </w:rPr>
              <w:t>37.50%</w:t>
            </w:r>
          </w:p>
        </w:tc>
      </w:tr>
      <w:tr>
        <w:trPr>
          <w:cantSplit/>
        </w:trPr>
        <w:tc>
          <w:tcPr>
            <w:tcW w:type="dxa" w:w="2866"/>
            <w:vAlign w:val="center"/>
          </w:tcPr>
          <w:p>
            <w:pPr>
              <w:spacing w:before="0" w:after="0" w:line="276" w:lineRule="auto"/>
              <w:jc w:val="left"/>
            </w:pPr>
            <w:r>
              <w:rPr>
                <w:rFonts w:ascii="Times New Roman" w:hAnsi="Times New Roman"/>
                <w:b w:val="0"/>
                <w:color w:val="000000"/>
                <w:sz w:val="22"/>
              </w:rPr>
              <w:t>Historical MCP agent</w:t>
            </w:r>
          </w:p>
        </w:tc>
        <w:tc>
          <w:tcPr>
            <w:tcW w:type="dxa" w:w="2866"/>
            <w:vAlign w:val="center"/>
          </w:tcPr>
          <w:p>
            <w:pPr>
              <w:spacing w:before="0" w:after="0" w:line="276" w:lineRule="auto"/>
              <w:jc w:val="center"/>
            </w:pPr>
            <w:r>
              <w:rPr>
                <w:rFonts w:ascii="Times New Roman" w:hAnsi="Times New Roman"/>
                <w:b w:val="0"/>
                <w:color w:val="000000"/>
                <w:sz w:val="22"/>
              </w:rPr>
              <w:t>0/24</w:t>
            </w:r>
          </w:p>
        </w:tc>
        <w:tc>
          <w:tcPr>
            <w:tcW w:type="dxa" w:w="2866"/>
            <w:vAlign w:val="center"/>
          </w:tcPr>
          <w:p>
            <w:pPr>
              <w:spacing w:before="0" w:after="0" w:line="276" w:lineRule="auto"/>
              <w:jc w:val="center"/>
            </w:pPr>
            <w:r>
              <w:rPr>
                <w:rFonts w:ascii="Times New Roman" w:hAnsi="Times New Roman"/>
                <w:b w:val="0"/>
                <w:color w:val="000000"/>
                <w:sz w:val="22"/>
              </w:rPr>
              <w:t>0%</w:t>
            </w:r>
          </w:p>
        </w:tc>
      </w:tr>
      <w:tr>
        <w:trPr>
          <w:cantSplit/>
        </w:trPr>
        <w:tc>
          <w:tcPr>
            <w:tcW w:type="dxa" w:w="2866"/>
            <w:vAlign w:val="center"/>
          </w:tcPr>
          <w:p>
            <w:pPr>
              <w:spacing w:before="0" w:after="0" w:line="276" w:lineRule="auto"/>
              <w:jc w:val="left"/>
            </w:pPr>
            <w:r>
              <w:rPr>
                <w:rFonts w:ascii="Times New Roman" w:hAnsi="Times New Roman"/>
                <w:b w:val="0"/>
                <w:color w:val="000000"/>
                <w:sz w:val="22"/>
              </w:rPr>
              <w:t>Repaired MCP agent</w:t>
            </w:r>
          </w:p>
        </w:tc>
        <w:tc>
          <w:tcPr>
            <w:tcW w:type="dxa" w:w="2866"/>
            <w:vAlign w:val="center"/>
          </w:tcPr>
          <w:p>
            <w:pPr>
              <w:spacing w:before="0" w:after="0" w:line="276" w:lineRule="auto"/>
              <w:jc w:val="center"/>
            </w:pPr>
            <w:r>
              <w:rPr>
                <w:rFonts w:ascii="Times New Roman" w:hAnsi="Times New Roman"/>
                <w:b w:val="0"/>
                <w:color w:val="000000"/>
                <w:sz w:val="22"/>
              </w:rPr>
              <w:t>3/24 (12.50%)</w:t>
            </w:r>
          </w:p>
        </w:tc>
        <w:tc>
          <w:tcPr>
            <w:tcW w:type="dxa" w:w="2866"/>
            <w:vAlign w:val="center"/>
          </w:tcPr>
          <w:p>
            <w:pPr>
              <w:spacing w:before="0" w:after="0" w:line="276" w:lineRule="auto"/>
              <w:jc w:val="center"/>
            </w:pPr>
            <w:r>
              <w:rPr>
                <w:rFonts w:ascii="Times New Roman" w:hAnsi="Times New Roman"/>
                <w:b w:val="0"/>
                <w:color w:val="000000"/>
                <w:sz w:val="22"/>
              </w:rPr>
              <w:t>27.08%</w:t>
            </w:r>
          </w:p>
        </w:tc>
      </w:tr>
    </w:tbl>
    <w:p>
      <w:pPr>
        <w:keepNext w:val="0"/>
        <w:keepLines w:val="0"/>
        <w:spacing w:before="240" w:after="0" w:line="480" w:lineRule="auto"/>
        <w:jc w:val="both"/>
      </w:pPr>
      <w:r>
        <w:rPr>
          <w:rFonts w:ascii="Times New Roman" w:hAnsi="Times New Roman"/>
          <w:b w:val="0"/>
          <w:color w:val="000000"/>
          <w:sz w:val="24"/>
        </w:rPr>
        <w:t>Macro FVM averages fact coverage per positive question. The earlier research-only diagnostic also produced 7/24 and 3/24; those records remain historical and separate. Matching totals do not make this replay independent confirmation. The production repair is local and uncommitted, with both platform copies identified by the same source SHA-256.</w:t>
      </w:r>
    </w:p>
    <w:p>
      <w:pPr>
        <w:keepNext w:val="0"/>
        <w:keepLines w:val="0"/>
        <w:spacing w:before="240" w:after="0" w:line="480" w:lineRule="auto"/>
        <w:jc w:val="both"/>
      </w:pPr>
      <w:r>
        <w:rPr>
          <w:rFonts w:ascii="Times New Roman" w:hAnsi="Times New Roman"/>
          <w:b w:val="0"/>
          <w:color w:val="000000"/>
          <w:sz w:val="24"/>
        </w:rPr>
        <w:t>The repaired single-pass method uses the abstention phrase on 8/8 unknowns; the agent does so on 7/8. Each response uses one model call, and neither method executes an additional model-selected tool. Limited prefix coverage and semantic mistakes remain; the results establish improved evidence delivery without demonstrating general reliability or an adaptive agent advantage.</w:t>
      </w:r>
    </w:p>
    <w:p>
      <w:pPr>
        <w:keepNext/>
        <w:keepLines w:val="0"/>
        <w:pageBreakBefore/>
        <w:spacing w:before="0" w:after="200" w:line="276" w:lineRule="auto"/>
        <w:jc w:val="left"/>
      </w:pPr>
      <w:r>
        <w:rPr>
          <w:rFonts w:ascii="Times New Roman" w:hAnsi="Times New Roman"/>
          <w:b/>
          <w:color w:val="000000"/>
          <w:sz w:val="24"/>
        </w:rPr>
        <w:t>5.1.5 Long-document summarization</w:t>
      </w:r>
    </w:p>
    <w:p>
      <w:pPr>
        <w:keepNext w:val="0"/>
        <w:keepLines w:val="0"/>
        <w:spacing w:before="240" w:after="0" w:line="480" w:lineRule="auto"/>
        <w:jc w:val="both"/>
      </w:pPr>
      <w:r>
        <w:rPr>
          <w:rFonts w:ascii="Times New Roman" w:hAnsi="Times New Roman"/>
          <w:b w:val="0"/>
          <w:color w:val="000000"/>
          <w:sz w:val="24"/>
        </w:rPr>
        <w:t>The historical summary experiment used a route that reads sections through MCP, summarizes individual sections and merges intermediate notes. All 15 expected sections across three dossiers were processed. This verifies traversal coverage, but the final summaries retained only 10 of the 24 requested fact values. Reading every section is therefore a necessary process property rather than a guarantee of complete output.</w:t>
      </w:r>
    </w:p>
    <w:p>
      <w:pPr>
        <w:keepNext/>
        <w:keepLines w:val="0"/>
        <w:spacing w:before="160" w:after="120" w:line="276" w:lineRule="auto"/>
        <w:jc w:val="center"/>
      </w:pPr>
      <w:r>
        <w:rPr>
          <w:rFonts w:ascii="Times New Roman" w:hAnsi="Times New Roman"/>
          <w:b w:val="0"/>
          <w:color w:val="000000"/>
          <w:sz w:val="22"/>
        </w:rPr>
        <w:t>Table 5.4 Requested facts retained in final summaries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2866"/>
        <w:gridCol w:w="2866"/>
        <w:gridCol w:w="2866"/>
      </w:tblGrid>
      <w:tr>
        <w:trPr>
          <w:cantSplit/>
          <w:tblHeader/>
        </w:trPr>
        <w:tc>
          <w:tcPr>
            <w:tcW w:type="dxa" w:w="2866"/>
            <w:vAlign w:val="center"/>
            <w:shd w:fill="EFEFEF"/>
          </w:tcPr>
          <w:p>
            <w:pPr>
              <w:spacing w:before="0" w:after="0" w:line="276" w:lineRule="auto"/>
              <w:jc w:val="left"/>
            </w:pPr>
            <w:r>
              <w:rPr>
                <w:rFonts w:ascii="Times New Roman" w:hAnsi="Times New Roman"/>
                <w:b/>
                <w:color w:val="000000"/>
                <w:sz w:val="22"/>
              </w:rPr>
              <w:t>Dossier</w:t>
            </w:r>
          </w:p>
        </w:tc>
        <w:tc>
          <w:tcPr>
            <w:tcW w:type="dxa" w:w="2866"/>
            <w:vAlign w:val="center"/>
            <w:shd w:fill="EFEFEF"/>
          </w:tcPr>
          <w:p>
            <w:pPr>
              <w:spacing w:before="0" w:after="0" w:line="276" w:lineRule="auto"/>
              <w:jc w:val="center"/>
            </w:pPr>
            <w:r>
              <w:rPr>
                <w:rFonts w:ascii="Times New Roman" w:hAnsi="Times New Roman"/>
                <w:b/>
                <w:color w:val="000000"/>
                <w:sz w:val="22"/>
              </w:rPr>
              <w:t>Sections read</w:t>
            </w:r>
          </w:p>
        </w:tc>
        <w:tc>
          <w:tcPr>
            <w:tcW w:type="dxa" w:w="2866"/>
            <w:vAlign w:val="center"/>
            <w:shd w:fill="EFEFEF"/>
          </w:tcPr>
          <w:p>
            <w:pPr>
              <w:spacing w:before="0" w:after="0" w:line="276" w:lineRule="auto"/>
              <w:jc w:val="center"/>
            </w:pPr>
            <w:r>
              <w:rPr>
                <w:rFonts w:ascii="Times New Roman" w:hAnsi="Times New Roman"/>
                <w:b/>
                <w:color w:val="000000"/>
                <w:sz w:val="22"/>
              </w:rPr>
              <w:t>Values retained</w:t>
            </w:r>
          </w:p>
        </w:tc>
      </w:tr>
      <w:tr>
        <w:trPr>
          <w:cantSplit/>
        </w:trPr>
        <w:tc>
          <w:tcPr>
            <w:tcW w:type="dxa" w:w="2866"/>
            <w:vAlign w:val="center"/>
          </w:tcPr>
          <w:p>
            <w:pPr>
              <w:spacing w:before="0" w:after="0" w:line="276" w:lineRule="auto"/>
              <w:jc w:val="left"/>
            </w:pPr>
            <w:r>
              <w:rPr>
                <w:rFonts w:ascii="Times New Roman" w:hAnsi="Times New Roman"/>
                <w:b w:val="0"/>
                <w:color w:val="000000"/>
                <w:sz w:val="22"/>
              </w:rPr>
              <w:t>Morrow Annex</w:t>
            </w:r>
          </w:p>
        </w:tc>
        <w:tc>
          <w:tcPr>
            <w:tcW w:type="dxa" w:w="2866"/>
            <w:vAlign w:val="center"/>
          </w:tcPr>
          <w:p>
            <w:pPr>
              <w:spacing w:before="0" w:after="0" w:line="276" w:lineRule="auto"/>
              <w:jc w:val="center"/>
            </w:pPr>
            <w:r>
              <w:rPr>
                <w:rFonts w:ascii="Times New Roman" w:hAnsi="Times New Roman"/>
                <w:b w:val="0"/>
                <w:color w:val="000000"/>
                <w:sz w:val="22"/>
              </w:rPr>
              <w:t>5/5</w:t>
            </w:r>
          </w:p>
        </w:tc>
        <w:tc>
          <w:tcPr>
            <w:tcW w:type="dxa" w:w="2866"/>
            <w:vAlign w:val="center"/>
          </w:tcPr>
          <w:p>
            <w:pPr>
              <w:spacing w:before="0" w:after="0" w:line="276" w:lineRule="auto"/>
              <w:jc w:val="center"/>
            </w:pPr>
            <w:r>
              <w:rPr>
                <w:rFonts w:ascii="Times New Roman" w:hAnsi="Times New Roman"/>
                <w:b w:val="0"/>
                <w:color w:val="000000"/>
                <w:sz w:val="22"/>
              </w:rPr>
              <w:t>3/8</w:t>
            </w:r>
          </w:p>
        </w:tc>
      </w:tr>
      <w:tr>
        <w:trPr>
          <w:cantSplit/>
        </w:trPr>
        <w:tc>
          <w:tcPr>
            <w:tcW w:type="dxa" w:w="2866"/>
            <w:vAlign w:val="center"/>
          </w:tcPr>
          <w:p>
            <w:pPr>
              <w:spacing w:before="0" w:after="0" w:line="276" w:lineRule="auto"/>
              <w:jc w:val="left"/>
            </w:pPr>
            <w:r>
              <w:rPr>
                <w:rFonts w:ascii="Times New Roman" w:hAnsi="Times New Roman"/>
                <w:b w:val="0"/>
                <w:color w:val="000000"/>
                <w:sz w:val="22"/>
              </w:rPr>
              <w:t>Oriole Basin</w:t>
            </w:r>
          </w:p>
        </w:tc>
        <w:tc>
          <w:tcPr>
            <w:tcW w:type="dxa" w:w="2866"/>
            <w:vAlign w:val="center"/>
          </w:tcPr>
          <w:p>
            <w:pPr>
              <w:spacing w:before="0" w:after="0" w:line="276" w:lineRule="auto"/>
              <w:jc w:val="center"/>
            </w:pPr>
            <w:r>
              <w:rPr>
                <w:rFonts w:ascii="Times New Roman" w:hAnsi="Times New Roman"/>
                <w:b w:val="0"/>
                <w:color w:val="000000"/>
                <w:sz w:val="22"/>
              </w:rPr>
              <w:t>5/5</w:t>
            </w:r>
          </w:p>
        </w:tc>
        <w:tc>
          <w:tcPr>
            <w:tcW w:type="dxa" w:w="2866"/>
            <w:vAlign w:val="center"/>
          </w:tcPr>
          <w:p>
            <w:pPr>
              <w:spacing w:before="0" w:after="0" w:line="276" w:lineRule="auto"/>
              <w:jc w:val="center"/>
            </w:pPr>
            <w:r>
              <w:rPr>
                <w:rFonts w:ascii="Times New Roman" w:hAnsi="Times New Roman"/>
                <w:b w:val="0"/>
                <w:color w:val="000000"/>
                <w:sz w:val="22"/>
              </w:rPr>
              <w:t>7/8</w:t>
            </w:r>
          </w:p>
        </w:tc>
      </w:tr>
      <w:tr>
        <w:trPr>
          <w:cantSplit/>
        </w:trPr>
        <w:tc>
          <w:tcPr>
            <w:tcW w:type="dxa" w:w="2866"/>
            <w:vAlign w:val="center"/>
          </w:tcPr>
          <w:p>
            <w:pPr>
              <w:spacing w:before="0" w:after="0" w:line="276" w:lineRule="auto"/>
              <w:jc w:val="left"/>
            </w:pPr>
            <w:r>
              <w:rPr>
                <w:rFonts w:ascii="Times New Roman" w:hAnsi="Times New Roman"/>
                <w:b w:val="0"/>
                <w:color w:val="000000"/>
                <w:sz w:val="22"/>
              </w:rPr>
              <w:t>Tamarisk Span</w:t>
            </w:r>
          </w:p>
        </w:tc>
        <w:tc>
          <w:tcPr>
            <w:tcW w:type="dxa" w:w="2866"/>
            <w:vAlign w:val="center"/>
          </w:tcPr>
          <w:p>
            <w:pPr>
              <w:spacing w:before="0" w:after="0" w:line="276" w:lineRule="auto"/>
              <w:jc w:val="center"/>
            </w:pPr>
            <w:r>
              <w:rPr>
                <w:rFonts w:ascii="Times New Roman" w:hAnsi="Times New Roman"/>
                <w:b w:val="0"/>
                <w:color w:val="000000"/>
                <w:sz w:val="22"/>
              </w:rPr>
              <w:t>5/5</w:t>
            </w:r>
          </w:p>
        </w:tc>
        <w:tc>
          <w:tcPr>
            <w:tcW w:type="dxa" w:w="2866"/>
            <w:vAlign w:val="center"/>
          </w:tcPr>
          <w:p>
            <w:pPr>
              <w:spacing w:before="0" w:after="0" w:line="276" w:lineRule="auto"/>
              <w:jc w:val="center"/>
            </w:pPr>
            <w:r>
              <w:rPr>
                <w:rFonts w:ascii="Times New Roman" w:hAnsi="Times New Roman"/>
                <w:b w:val="0"/>
                <w:color w:val="000000"/>
                <w:sz w:val="22"/>
              </w:rPr>
              <w:t>0/8</w:t>
            </w:r>
          </w:p>
        </w:tc>
      </w:tr>
      <w:tr>
        <w:trPr>
          <w:cantSplit/>
        </w:trPr>
        <w:tc>
          <w:tcPr>
            <w:tcW w:type="dxa" w:w="2866"/>
            <w:vAlign w:val="center"/>
          </w:tcPr>
          <w:p>
            <w:pPr>
              <w:spacing w:before="0" w:after="0" w:line="276" w:lineRule="auto"/>
              <w:jc w:val="left"/>
            </w:pPr>
            <w:r>
              <w:rPr>
                <w:rFonts w:ascii="Times New Roman" w:hAnsi="Times New Roman"/>
                <w:b w:val="0"/>
                <w:color w:val="000000"/>
                <w:sz w:val="22"/>
              </w:rPr>
              <w:t>Total</w:t>
            </w:r>
          </w:p>
        </w:tc>
        <w:tc>
          <w:tcPr>
            <w:tcW w:type="dxa" w:w="2866"/>
            <w:vAlign w:val="center"/>
          </w:tcPr>
          <w:p>
            <w:pPr>
              <w:spacing w:before="0" w:after="0" w:line="276" w:lineRule="auto"/>
              <w:jc w:val="center"/>
            </w:pPr>
            <w:r>
              <w:rPr>
                <w:rFonts w:ascii="Times New Roman" w:hAnsi="Times New Roman"/>
                <w:b w:val="0"/>
                <w:color w:val="000000"/>
                <w:sz w:val="22"/>
              </w:rPr>
              <w:t>15/15</w:t>
            </w:r>
          </w:p>
        </w:tc>
        <w:tc>
          <w:tcPr>
            <w:tcW w:type="dxa" w:w="2866"/>
            <w:vAlign w:val="center"/>
          </w:tcPr>
          <w:p>
            <w:pPr>
              <w:spacing w:before="0" w:after="0" w:line="276" w:lineRule="auto"/>
              <w:jc w:val="center"/>
            </w:pPr>
            <w:r>
              <w:rPr>
                <w:rFonts w:ascii="Times New Roman" w:hAnsi="Times New Roman"/>
                <w:b w:val="0"/>
                <w:color w:val="000000"/>
                <w:sz w:val="22"/>
              </w:rPr>
              <w:t>10/24 (41.67%)</w:t>
            </w:r>
          </w:p>
        </w:tc>
      </w:tr>
    </w:tbl>
    <w:p>
      <w:pPr>
        <w:keepNext w:val="0"/>
        <w:keepLines w:val="0"/>
        <w:spacing w:before="240" w:after="0" w:line="480" w:lineRule="auto"/>
        <w:jc w:val="both"/>
      </w:pPr>
      <w:r>
        <w:rPr>
          <w:rFonts w:ascii="Times New Roman" w:hAnsi="Times New Roman"/>
          <w:b w:val="0"/>
          <w:color w:val="000000"/>
          <w:sz w:val="24"/>
        </w:rPr>
        <w:t>Each historical summary required 11 model calls and approximately 56.75–64.38 seconds. Some final outputs claim that facts are absent even though the source contains them. Such statements require source verification and must not be repeated as established document properties.</w:t>
      </w:r>
    </w:p>
    <w:p>
      <w:pPr>
        <w:keepNext w:val="0"/>
        <w:keepLines w:val="0"/>
        <w:spacing w:before="240" w:after="0" w:line="480" w:lineRule="auto"/>
        <w:jc w:val="both"/>
      </w:pPr>
      <w:r>
        <w:rPr>
          <w:rFonts w:ascii="Times New Roman" w:hAnsi="Times New Roman"/>
          <w:b w:val="0"/>
          <w:color w:val="000000"/>
          <w:sz w:val="24"/>
        </w:rPr>
        <w:t>The production repair replay evaluated question answering, not these summary tasks; the earlier 10/24 result remains historical. Structured field extraction and source-linked checks before narrative merging remain future work. A summary should be presented as an editable draft and verified against the reader, even when every source section was visited.</w:t>
      </w:r>
    </w:p>
    <w:p>
      <w:pPr>
        <w:keepNext/>
        <w:keepLines w:val="0"/>
        <w:pageBreakBefore/>
        <w:spacing w:before="0" w:after="200" w:line="276" w:lineRule="auto"/>
        <w:jc w:val="left"/>
      </w:pPr>
      <w:r>
        <w:rPr>
          <w:rFonts w:ascii="Times New Roman" w:hAnsi="Times New Roman"/>
          <w:b/>
          <w:color w:val="000000"/>
          <w:sz w:val="24"/>
        </w:rPr>
        <w:t>5.1.6 Functional and runtime observations</w:t>
      </w:r>
    </w:p>
    <w:p>
      <w:pPr>
        <w:keepNext w:val="0"/>
        <w:keepLines w:val="0"/>
        <w:spacing w:before="240" w:after="0" w:line="480" w:lineRule="auto"/>
        <w:jc w:val="both"/>
      </w:pPr>
      <w:r>
        <w:rPr>
          <w:rFonts w:ascii="Times New Roman" w:hAnsi="Times New Roman"/>
          <w:b w:val="0"/>
          <w:color w:val="000000"/>
          <w:sz w:val="24"/>
        </w:rPr>
        <w:t>Current Linux validation passes 62 tests. The Windows checkout tested on Linux passes 99, with six native Windows checks skipped. These are not new native Windows results. Historical CI on Windows Server 2025 passed 86 tests per interpreter on Python 3.12.10 and 3.13.15 using fake Ollama; actual Windows 11 GPU inference remains unverified.</w:t>
      </w:r>
    </w:p>
    <w:p>
      <w:pPr>
        <w:keepNext w:val="0"/>
        <w:keepLines w:val="0"/>
        <w:spacing w:before="240" w:after="0" w:line="480" w:lineRule="auto"/>
        <w:jc w:val="both"/>
      </w:pPr>
      <w:r>
        <w:rPr>
          <w:rFonts w:ascii="Times New Roman" w:hAnsi="Times New Roman"/>
          <w:b w:val="0"/>
          <w:color w:val="000000"/>
          <w:sz w:val="24"/>
        </w:rPr>
        <w:t>Nineteen new regression cases cover escaping, Unicode, exact boundaries, tiny budgets, input immutability, tool metadata and outgoing payloads. Fourteen of the initial fifteen cases failed before repair. Independent review also exercised 3,000 deterministic randomized budget cases. Both local platform copies contain identical repaired inference code and regression tests.</w:t>
      </w:r>
    </w:p>
    <w:p>
      <w:pPr>
        <w:keepNext/>
        <w:keepLines w:val="0"/>
        <w:spacing w:before="160" w:after="120" w:line="276" w:lineRule="auto"/>
        <w:jc w:val="center"/>
      </w:pPr>
      <w:r>
        <w:rPr>
          <w:rFonts w:ascii="Times New Roman" w:hAnsi="Times New Roman"/>
          <w:b w:val="0"/>
          <w:color w:val="000000"/>
          <w:sz w:val="22"/>
        </w:rPr>
        <w:t>Table 5.5 Historical resource and runtime context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2664"/>
        <w:gridCol w:w="5904"/>
      </w:tblGrid>
      <w:tr>
        <w:trPr>
          <w:cantSplit/>
          <w:tblHeader/>
        </w:trPr>
        <w:tc>
          <w:tcPr>
            <w:tcW w:type="dxa" w:w="2664"/>
            <w:vAlign w:val="center"/>
            <w:shd w:fill="EFEFEF"/>
          </w:tcPr>
          <w:p>
            <w:pPr>
              <w:spacing w:before="0" w:after="0" w:line="276" w:lineRule="auto"/>
              <w:jc w:val="left"/>
            </w:pPr>
            <w:r>
              <w:rPr>
                <w:rFonts w:ascii="Times New Roman" w:hAnsi="Times New Roman"/>
                <w:b/>
                <w:color w:val="000000"/>
                <w:sz w:val="22"/>
              </w:rPr>
              <w:t>Historical observation</w:t>
            </w:r>
          </w:p>
        </w:tc>
        <w:tc>
          <w:tcPr>
            <w:tcW w:type="dxa" w:w="5904"/>
            <w:vAlign w:val="center"/>
            <w:shd w:fill="EFEFEF"/>
          </w:tcPr>
          <w:p>
            <w:pPr>
              <w:spacing w:before="0" w:after="0" w:line="276" w:lineRule="auto"/>
              <w:jc w:val="left"/>
            </w:pPr>
            <w:r>
              <w:rPr>
                <w:rFonts w:ascii="Times New Roman" w:hAnsi="Times New Roman"/>
                <w:b/>
                <w:color w:val="000000"/>
                <w:sz w:val="22"/>
              </w:rPr>
              <w:t>Measured value / qualification</w:t>
            </w:r>
          </w:p>
        </w:tc>
      </w:tr>
      <w:tr>
        <w:trPr>
          <w:cantSplit/>
        </w:trPr>
        <w:tc>
          <w:tcPr>
            <w:tcW w:type="dxa" w:w="2664"/>
            <w:vAlign w:val="center"/>
          </w:tcPr>
          <w:p>
            <w:pPr>
              <w:spacing w:before="0" w:after="0" w:line="276" w:lineRule="auto"/>
              <w:jc w:val="left"/>
            </w:pPr>
            <w:r>
              <w:rPr>
                <w:rFonts w:ascii="Times New Roman" w:hAnsi="Times New Roman"/>
                <w:b w:val="0"/>
                <w:color w:val="000000"/>
                <w:sz w:val="22"/>
              </w:rPr>
              <w:t>Indexing</w:t>
            </w:r>
          </w:p>
        </w:tc>
        <w:tc>
          <w:tcPr>
            <w:tcW w:type="dxa" w:w="5904"/>
            <w:vAlign w:val="center"/>
          </w:tcPr>
          <w:p>
            <w:pPr>
              <w:spacing w:before="0" w:after="0" w:line="276" w:lineRule="auto"/>
              <w:jc w:val="left"/>
            </w:pPr>
            <w:r>
              <w:rPr>
                <w:rFonts w:ascii="Times New Roman" w:hAnsi="Times New Roman"/>
                <w:b w:val="0"/>
                <w:color w:val="000000"/>
                <w:sz w:val="22"/>
              </w:rPr>
              <w:t>39 documents / 141 chunks; 12.875 seconds</w:t>
            </w:r>
          </w:p>
        </w:tc>
      </w:tr>
      <w:tr>
        <w:trPr>
          <w:cantSplit/>
        </w:trPr>
        <w:tc>
          <w:tcPr>
            <w:tcW w:type="dxa" w:w="2664"/>
            <w:vAlign w:val="center"/>
          </w:tcPr>
          <w:p>
            <w:pPr>
              <w:spacing w:before="0" w:after="0" w:line="276" w:lineRule="auto"/>
              <w:jc w:val="left"/>
            </w:pPr>
            <w:r>
              <w:rPr>
                <w:rFonts w:ascii="Times New Roman" w:hAnsi="Times New Roman"/>
                <w:b w:val="0"/>
                <w:color w:val="000000"/>
                <w:sz w:val="22"/>
              </w:rPr>
              <w:t>Process RSS peak sum</w:t>
            </w:r>
          </w:p>
        </w:tc>
        <w:tc>
          <w:tcPr>
            <w:tcW w:type="dxa" w:w="5904"/>
            <w:vAlign w:val="center"/>
          </w:tcPr>
          <w:p>
            <w:pPr>
              <w:spacing w:before="0" w:after="0" w:line="276" w:lineRule="auto"/>
              <w:jc w:val="left"/>
            </w:pPr>
            <w:r>
              <w:rPr>
                <w:rFonts w:ascii="Times New Roman" w:hAnsi="Times New Roman"/>
                <w:b w:val="0"/>
                <w:color w:val="000000"/>
                <w:sz w:val="22"/>
              </w:rPr>
              <w:t>8,258.89 MiB; shared pages may double count</w:t>
            </w:r>
          </w:p>
        </w:tc>
      </w:tr>
      <w:tr>
        <w:trPr>
          <w:cantSplit/>
        </w:trPr>
        <w:tc>
          <w:tcPr>
            <w:tcW w:type="dxa" w:w="2664"/>
            <w:vAlign w:val="center"/>
          </w:tcPr>
          <w:p>
            <w:pPr>
              <w:spacing w:before="0" w:after="0" w:line="276" w:lineRule="auto"/>
              <w:jc w:val="left"/>
            </w:pPr>
            <w:r>
              <w:rPr>
                <w:rFonts w:ascii="Times New Roman" w:hAnsi="Times New Roman"/>
                <w:b w:val="0"/>
                <w:color w:val="000000"/>
                <w:sz w:val="22"/>
              </w:rPr>
              <w:t>Total GPU peak</w:t>
            </w:r>
          </w:p>
        </w:tc>
        <w:tc>
          <w:tcPr>
            <w:tcW w:type="dxa" w:w="5904"/>
            <w:vAlign w:val="center"/>
          </w:tcPr>
          <w:p>
            <w:pPr>
              <w:spacing w:before="0" w:after="0" w:line="276" w:lineRule="auto"/>
              <w:jc w:val="left"/>
            </w:pPr>
            <w:r>
              <w:rPr>
                <w:rFonts w:ascii="Times New Roman" w:hAnsi="Times New Roman"/>
                <w:b w:val="0"/>
                <w:color w:val="000000"/>
                <w:sz w:val="22"/>
              </w:rPr>
              <w:t>5,317 MiB; desktop included</w:t>
            </w:r>
          </w:p>
        </w:tc>
      </w:tr>
      <w:tr>
        <w:trPr>
          <w:cantSplit/>
        </w:trPr>
        <w:tc>
          <w:tcPr>
            <w:tcW w:type="dxa" w:w="2664"/>
            <w:vAlign w:val="center"/>
          </w:tcPr>
          <w:p>
            <w:pPr>
              <w:spacing w:before="0" w:after="0" w:line="276" w:lineRule="auto"/>
              <w:jc w:val="left"/>
            </w:pPr>
            <w:r>
              <w:rPr>
                <w:rFonts w:ascii="Times New Roman" w:hAnsi="Times New Roman"/>
                <w:b w:val="0"/>
                <w:color w:val="000000"/>
                <w:sz w:val="22"/>
              </w:rPr>
              <w:t>Resource sampling</w:t>
            </w:r>
          </w:p>
        </w:tc>
        <w:tc>
          <w:tcPr>
            <w:tcW w:type="dxa" w:w="5904"/>
            <w:vAlign w:val="center"/>
          </w:tcPr>
          <w:p>
            <w:pPr>
              <w:spacing w:before="0" w:after="0" w:line="276" w:lineRule="auto"/>
              <w:jc w:val="left"/>
            </w:pPr>
            <w:r>
              <w:rPr>
                <w:rFonts w:ascii="Times New Roman" w:hAnsi="Times New Roman"/>
                <w:b w:val="0"/>
                <w:color w:val="000000"/>
                <w:sz w:val="22"/>
              </w:rPr>
              <w:t>239 samples in original experiment</w:t>
            </w:r>
          </w:p>
        </w:tc>
      </w:tr>
    </w:tbl>
    <w:p>
      <w:pPr>
        <w:keepNext w:val="0"/>
        <w:keepLines w:val="0"/>
        <w:spacing w:before="240" w:after="0" w:line="480" w:lineRule="auto"/>
        <w:jc w:val="both"/>
      </w:pPr>
      <w:r>
        <w:rPr>
          <w:rFonts w:ascii="Times New Roman" w:hAnsi="Times New Roman"/>
          <w:b w:val="0"/>
          <w:color w:val="000000"/>
          <w:sz w:val="24"/>
        </w:rPr>
        <w:t>The new replay median response times are 0.686 seconds for single-pass and 1.237 seconds for MCP. They concern reused questions and mixed successful or incomplete outputs, not a controlled speed comparison. Historical resource peaks above were not remeasured for this repair. Energy use, archive scale and broader hardware performance remain unestablished.</w:t>
      </w:r>
    </w:p>
    <w:p>
      <w:pPr>
        <w:keepNext/>
        <w:keepLines w:val="0"/>
        <w:pageBreakBefore/>
        <w:spacing w:before="0" w:after="200" w:line="276" w:lineRule="auto"/>
        <w:jc w:val="left"/>
      </w:pPr>
      <w:r>
        <w:rPr>
          <w:rFonts w:ascii="Times New Roman" w:hAnsi="Times New Roman"/>
          <w:b/>
          <w:color w:val="000000"/>
          <w:sz w:val="24"/>
        </w:rPr>
        <w:t>5.1.7 Validity threats and error analysis</w:t>
      </w:r>
    </w:p>
    <w:p>
      <w:pPr>
        <w:keepNext w:val="0"/>
        <w:keepLines w:val="0"/>
        <w:spacing w:before="240" w:after="0" w:line="480" w:lineRule="auto"/>
        <w:jc w:val="both"/>
      </w:pPr>
      <w:r>
        <w:rPr>
          <w:rFonts w:ascii="Times New Roman" w:hAnsi="Times New Roman"/>
          <w:b w:val="0"/>
          <w:color w:val="000000"/>
          <w:sz w:val="24"/>
        </w:rPr>
        <w:t>Construct validity is limited by alias matching. An expected value can appear in a wrong explanation, while a valid unlisted paraphrase can be missed. The historical U003 date-role error illustrates why source presence and valid citation indices do not prove claim entailment. Repairing context fitting does not remove these semantic limitations.</w:t>
      </w:r>
    </w:p>
    <w:p>
      <w:pPr>
        <w:keepNext w:val="0"/>
        <w:keepLines w:val="0"/>
        <w:spacing w:before="240" w:after="0" w:line="480" w:lineRule="auto"/>
        <w:jc w:val="both"/>
      </w:pPr>
      <w:r>
        <w:rPr>
          <w:rFonts w:ascii="Times New Roman" w:hAnsi="Times New Roman"/>
          <w:b w:val="0"/>
          <w:color w:val="000000"/>
          <w:sz w:val="24"/>
        </w:rPr>
        <w:t>Internal validity is limited by reused questions, different schema overheads and unseeded generation at temperature 0.25. The production replay follows an observed failure and prior diagnostic on the same examples. It verifies execution of the applied repair without fitter substitution, but it is not held-out confirmation or a randomized comparison of reasoning ability.</w:t>
      </w:r>
    </w:p>
    <w:p>
      <w:pPr>
        <w:keepNext w:val="0"/>
        <w:keepLines w:val="0"/>
        <w:spacing w:before="240" w:after="0" w:line="480" w:lineRule="auto"/>
        <w:jc w:val="both"/>
      </w:pPr>
      <w:r>
        <w:rPr>
          <w:rFonts w:ascii="Times New Roman" w:hAnsi="Times New Roman"/>
          <w:b w:val="0"/>
          <w:color w:val="000000"/>
          <w:sz w:val="24"/>
        </w:rPr>
        <w:t>External validity remains narrow: 39 synthetic English Markdown files are not a representative hard drive. No new OCR, multilingual, adversarial, multi-user, longitudinal-memory or Windows 11 GPU study accompanies the repair. Historical summary and resource measurements were not repeated during the question-answer replay.</w:t>
      </w:r>
    </w:p>
    <w:p>
      <w:pPr>
        <w:keepNext w:val="0"/>
        <w:keepLines w:val="0"/>
        <w:spacing w:before="240" w:after="0" w:line="480" w:lineRule="auto"/>
        <w:jc w:val="both"/>
      </w:pPr>
      <w:r>
        <w:rPr>
          <w:rFonts w:ascii="Times New Roman" w:hAnsi="Times New Roman"/>
          <w:b w:val="0"/>
          <w:color w:val="000000"/>
          <w:sz w:val="24"/>
        </w:rPr>
        <w:t>The strongest supported conclusion is that exact serialization prevents the observed avoidable evidence drop in the tested requests. Sixty-four retained reference messages do not imply 64 correct answers or universally complete context. Frozen baseline records, separate production outputs and source hashes preserve the distinction between original failure, diagnostic development and current local code.</w:t>
      </w:r>
    </w:p>
    <w:p>
      <w:pPr>
        <w:keepNext/>
        <w:keepLines w:val="0"/>
        <w:pageBreakBefore/>
        <w:spacing w:before="0" w:after="160" w:line="276" w:lineRule="auto"/>
        <w:jc w:val="center"/>
      </w:pPr>
      <w:r>
        <w:rPr>
          <w:rFonts w:ascii="Times New Roman" w:hAnsi="Times New Roman"/>
          <w:b/>
          <w:color w:val="000000"/>
          <w:sz w:val="32"/>
        </w:rPr>
        <w:t>Chapter 6</w:t>
      </w:r>
    </w:p>
    <w:p>
      <w:pPr>
        <w:keepNext/>
        <w:keepLines w:val="0"/>
        <w:spacing w:before="0" w:after="240" w:line="360" w:lineRule="auto"/>
        <w:jc w:val="center"/>
      </w:pPr>
      <w:r>
        <w:rPr>
          <w:rFonts w:ascii="Times New Roman" w:hAnsi="Times New Roman"/>
          <w:b/>
          <w:color w:val="000000"/>
          <w:sz w:val="32"/>
        </w:rPr>
        <w:t>Conclusion and Future Scope</w:t>
      </w:r>
    </w:p>
    <w:p>
      <w:pPr>
        <w:keepNext/>
        <w:keepLines w:val="0"/>
        <w:spacing w:before="0" w:after="200" w:line="276" w:lineRule="auto"/>
        <w:jc w:val="left"/>
      </w:pPr>
      <w:r>
        <w:rPr>
          <w:rFonts w:ascii="Times New Roman" w:hAnsi="Times New Roman"/>
          <w:b/>
          <w:color w:val="000000"/>
          <w:sz w:val="24"/>
        </w:rPr>
        <w:t>6.1 Conclusion</w:t>
      </w:r>
    </w:p>
    <w:p>
      <w:pPr>
        <w:keepNext w:val="0"/>
        <w:keepLines w:val="0"/>
        <w:spacing w:before="240" w:after="0" w:line="480" w:lineRule="auto"/>
        <w:jc w:val="both"/>
      </w:pPr>
      <w:r>
        <w:rPr>
          <w:rFonts w:ascii="Times New Roman" w:hAnsi="Times New Roman"/>
          <w:b w:val="0"/>
          <w:color w:val="000000"/>
          <w:sz w:val="24"/>
        </w:rPr>
        <w:t>LocalMind integrates approved-file indexing, source inspection, persistent SQLite memory, project workspaces, local inference and a genuine MCP service. The current Linux and Windows copies include an exact serialized UTF-8 context-fitting repair. The code is applied locally and verified by source hash; it has not been committed or pushed into the historical Git references.</w:t>
      </w:r>
    </w:p>
    <w:p>
      <w:pPr>
        <w:keepNext w:val="0"/>
        <w:keepLines w:val="0"/>
        <w:spacing w:before="240" w:after="0" w:line="480" w:lineRule="auto"/>
        <w:jc w:val="both"/>
      </w:pPr>
      <w:r>
        <w:rPr>
          <w:rFonts w:ascii="Times New Roman" w:hAnsi="Times New Roman"/>
          <w:b w:val="0"/>
          <w:color w:val="000000"/>
          <w:sz w:val="24"/>
        </w:rPr>
        <w:t>The original generation baseline completed 0/24 positives per method after dropping evidence. The current production replay retains references for 64/64 requests, respects the configured input bound and reports no errors. Single-pass AFVM is 7/24 with macro FVM 37.50%; MCP-agent AFVM is 3/24 with macro FVM 27.08%. These totals match the earlier research-only diagnostic but come from actual repaired production code.</w:t>
      </w:r>
    </w:p>
    <w:p>
      <w:pPr>
        <w:keepNext w:val="0"/>
        <w:keepLines w:val="0"/>
        <w:spacing w:before="240" w:after="0" w:line="480" w:lineRule="auto"/>
        <w:jc w:val="both"/>
      </w:pPr>
      <w:r>
        <w:rPr>
          <w:rFonts w:ascii="Times New Roman" w:hAnsi="Times New Roman"/>
          <w:b w:val="0"/>
          <w:color w:val="000000"/>
          <w:sz w:val="24"/>
        </w:rPr>
        <w:t>The repair completes one necessary engineering correction without establishing dependable factual assistance. Passage-prefix losses remain, no additional model-selected tool executes and the reused corpus is not independent confirmation. The earlier summary experiment retained only 10/24 requested facts and was not rerun here. Local ownership and functional integration are demonstrated; broader factual reliability, stronger evidence selection and adversarial security remain open work.</w:t>
      </w:r>
    </w:p>
    <w:p>
      <w:pPr>
        <w:keepNext/>
        <w:keepLines w:val="0"/>
        <w:pageBreakBefore/>
        <w:spacing w:before="0" w:after="200" w:line="276" w:lineRule="auto"/>
        <w:jc w:val="left"/>
      </w:pPr>
      <w:r>
        <w:rPr>
          <w:rFonts w:ascii="Times New Roman" w:hAnsi="Times New Roman"/>
          <w:b/>
          <w:color w:val="000000"/>
          <w:sz w:val="24"/>
        </w:rPr>
        <w:t>6.2 Future scope</w:t>
      </w:r>
    </w:p>
    <w:p>
      <w:pPr>
        <w:keepNext w:val="0"/>
        <w:keepLines w:val="0"/>
        <w:spacing w:before="240" w:after="0" w:line="480" w:lineRule="auto"/>
        <w:jc w:val="both"/>
      </w:pPr>
      <w:r>
        <w:rPr>
          <w:rFonts w:ascii="Times New Roman" w:hAnsi="Times New Roman"/>
          <w:b w:val="0"/>
          <w:color w:val="000000"/>
          <w:sz w:val="24"/>
        </w:rPr>
        <w:t>Exact serialized-cost fitting is now implemented and regression-tested in both local platform copies. Future context work should preserve per-source evidence quotas, expose the precise references sent to the model and handle requested facts beyond the first 1,000 characters. These are additional improvements, not descriptions of the completed repair. A held-out corpus is needed before claiming general factual reliability.</w:t>
      </w:r>
    </w:p>
    <w:p>
      <w:pPr>
        <w:keepNext w:val="0"/>
        <w:keepLines w:val="0"/>
        <w:spacing w:before="240" w:after="0" w:line="480" w:lineRule="auto"/>
        <w:jc w:val="both"/>
      </w:pPr>
      <w:r>
        <w:rPr>
          <w:rFonts w:ascii="Times New Roman" w:hAnsi="Times New Roman"/>
          <w:b w:val="0"/>
          <w:color w:val="000000"/>
          <w:sz w:val="24"/>
        </w:rPr>
        <w:t>Task-aware evidence selection remains a priority. Offset-aware retrieval can seek requested fields instead of relying on passage beginnings. Structured extraction and source-linked verification can reduce losses during summary merging. Comparisons of models and agent policies should hold evidence budgets constant, include tasks requiring additional reads and report whether model-selected tools actually retrieve missing facts.</w:t>
      </w:r>
    </w:p>
    <w:p>
      <w:pPr>
        <w:keepNext w:val="0"/>
        <w:keepLines w:val="0"/>
        <w:spacing w:before="240" w:after="0" w:line="480" w:lineRule="auto"/>
        <w:jc w:val="both"/>
      </w:pPr>
      <w:r>
        <w:rPr>
          <w:rFonts w:ascii="Times New Roman" w:hAnsi="Times New Roman"/>
          <w:b w:val="0"/>
          <w:color w:val="000000"/>
          <w:sz w:val="24"/>
        </w:rPr>
        <w:t>Operational improvements include optional local OCR, opt-in file watching, content-hash freshness, memory export and import, encrypted storage and systematic prompt-injection tests. The tested local repair also needs a versioned commit and fresh native Windows validation before old CI evidence can be attributed to the changed code.</w:t>
      </w:r>
    </w:p>
    <w:p>
      <w:pPr>
        <w:keepNext w:val="0"/>
        <w:keepLines w:val="0"/>
        <w:spacing w:before="240" w:after="0" w:line="480" w:lineRule="auto"/>
        <w:jc w:val="both"/>
      </w:pPr>
      <w:r>
        <w:rPr>
          <w:rFonts w:ascii="Times New Roman" w:hAnsi="Times New Roman"/>
          <w:b w:val="0"/>
          <w:color w:val="000000"/>
          <w:sz w:val="24"/>
        </w:rPr>
        <w:t>Real Windows 11 GPU runs, heterogeneous and multilingual files, larger archives and consented user studies remain necessary. Future evaluation should measure cold starts, power and human verification effort. These activities are proposed work, distinct from the completed production context repair and its limited replay.</w:t>
      </w:r>
    </w:p>
    <w:p>
      <w:pPr>
        <w:keepNext/>
        <w:keepLines w:val="0"/>
        <w:pageBreakBefore/>
        <w:spacing w:before="0" w:after="280" w:line="276" w:lineRule="auto"/>
        <w:jc w:val="center"/>
      </w:pPr>
      <w:r>
        <w:rPr>
          <w:rFonts w:ascii="Times New Roman" w:hAnsi="Times New Roman"/>
          <w:b/>
          <w:color w:val="000000"/>
          <w:sz w:val="28"/>
        </w:rPr>
        <w:t>REFERENCES</w:t>
      </w:r>
    </w:p>
    <w:p>
      <w:pPr>
        <w:keepNext w:val="0"/>
        <w:keepLines w:val="0"/>
        <w:spacing w:before="0" w:after="200" w:line="360" w:lineRule="auto"/>
        <w:ind w:left="360" w:hanging="360"/>
        <w:jc w:val="left"/>
      </w:pPr>
      <w:r>
        <w:rPr>
          <w:rFonts w:ascii="Times New Roman" w:hAnsi="Times New Roman"/>
          <w:b w:val="0"/>
          <w:color w:val="000000"/>
          <w:sz w:val="24"/>
        </w:rPr>
      </w:r>
      <w:r>
        <w:rPr>
          <w:rFonts w:ascii="Times New Roman" w:hAnsi="Times New Roman"/>
          <w:i w:val="0"/>
          <w:color w:val="000000"/>
          <w:sz w:val="24"/>
        </w:rPr>
        <w:t xml:space="preserve">Cormack, G. V., Clarke, C. L. A., &amp; Büttcher, S. (2009). Reciprocal rank fusion outperforms Condorcet and individual rank learning methods. In </w:t>
      </w:r>
      <w:r>
        <w:rPr>
          <w:rFonts w:ascii="Times New Roman" w:hAnsi="Times New Roman"/>
          <w:i/>
          <w:color w:val="000000"/>
          <w:sz w:val="24"/>
        </w:rPr>
        <w:t>Proceedings of the 32nd International ACM SIGIR Conference on Research and Development in Information Retrieval</w:t>
      </w:r>
      <w:r>
        <w:rPr>
          <w:rFonts w:ascii="Times New Roman" w:hAnsi="Times New Roman"/>
          <w:i w:val="0"/>
          <w:color w:val="000000"/>
          <w:sz w:val="24"/>
        </w:rPr>
        <w:t xml:space="preserve"> (pp. 758–759). https://doi.org/10.1145/1571941.1572114</w:t>
      </w:r>
    </w:p>
    <w:p>
      <w:pPr>
        <w:keepNext w:val="0"/>
        <w:keepLines w:val="0"/>
        <w:spacing w:before="0" w:after="200" w:line="360" w:lineRule="auto"/>
        <w:ind w:left="360" w:hanging="360"/>
        <w:jc w:val="left"/>
      </w:pPr>
      <w:r>
        <w:rPr>
          <w:rFonts w:ascii="Times New Roman" w:hAnsi="Times New Roman"/>
          <w:b w:val="0"/>
          <w:color w:val="000000"/>
          <w:sz w:val="24"/>
        </w:rPr>
      </w:r>
      <w:r>
        <w:rPr>
          <w:rFonts w:ascii="Times New Roman" w:hAnsi="Times New Roman"/>
          <w:i w:val="0"/>
          <w:color w:val="000000"/>
          <w:sz w:val="24"/>
        </w:rPr>
        <w:t xml:space="preserve">Es, S., James, J., Espinosa Anke, L., &amp; Schockaert, S. (2024). RAGAs: Automated evaluation of retrieval augmented generation. In </w:t>
      </w:r>
      <w:r>
        <w:rPr>
          <w:rFonts w:ascii="Times New Roman" w:hAnsi="Times New Roman"/>
          <w:i/>
          <w:color w:val="000000"/>
          <w:sz w:val="24"/>
        </w:rPr>
        <w:t>Proceedings of the 18th Conference of the European Chapter of the Association for Computational Linguistics: System Demonstrations</w:t>
      </w:r>
      <w:r>
        <w:rPr>
          <w:rFonts w:ascii="Times New Roman" w:hAnsi="Times New Roman"/>
          <w:i w:val="0"/>
          <w:color w:val="000000"/>
          <w:sz w:val="24"/>
        </w:rPr>
        <w:t xml:space="preserve"> (pp. 150–158). https://doi.org/10.18653/v1/2024.eacl-demo.16</w:t>
      </w:r>
    </w:p>
    <w:p>
      <w:pPr>
        <w:keepNext w:val="0"/>
        <w:keepLines w:val="0"/>
        <w:spacing w:before="0" w:after="200" w:line="360" w:lineRule="auto"/>
        <w:ind w:left="360" w:hanging="360"/>
        <w:jc w:val="left"/>
      </w:pPr>
      <w:r>
        <w:rPr>
          <w:rFonts w:ascii="Times New Roman" w:hAnsi="Times New Roman"/>
          <w:b w:val="0"/>
          <w:color w:val="000000"/>
          <w:sz w:val="24"/>
        </w:rPr>
      </w:r>
      <w:r>
        <w:rPr>
          <w:rFonts w:ascii="Times New Roman" w:hAnsi="Times New Roman"/>
          <w:i w:val="0"/>
          <w:color w:val="000000"/>
          <w:sz w:val="24"/>
        </w:rPr>
        <w:t xml:space="preserve">Gao, T., Yen, H., Yu, J., &amp; Chen, D. (2023). Enabling large language models to generate text with citations. In </w:t>
      </w:r>
      <w:r>
        <w:rPr>
          <w:rFonts w:ascii="Times New Roman" w:hAnsi="Times New Roman"/>
          <w:i/>
          <w:color w:val="000000"/>
          <w:sz w:val="24"/>
        </w:rPr>
        <w:t>Proceedings of the 2023 Conference on Empirical Methods in Natural Language Processing</w:t>
      </w:r>
      <w:r>
        <w:rPr>
          <w:rFonts w:ascii="Times New Roman" w:hAnsi="Times New Roman"/>
          <w:i w:val="0"/>
          <w:color w:val="000000"/>
          <w:sz w:val="24"/>
        </w:rPr>
        <w:t xml:space="preserve"> (pp. 6465–6488). https://doi.org/10.18653/v1/2023.emnlp-main.398</w:t>
      </w:r>
    </w:p>
    <w:p>
      <w:pPr>
        <w:keepNext w:val="0"/>
        <w:keepLines w:val="0"/>
        <w:spacing w:before="0" w:after="200" w:line="360" w:lineRule="auto"/>
        <w:ind w:left="360" w:hanging="360"/>
        <w:jc w:val="left"/>
      </w:pPr>
      <w:r>
        <w:rPr>
          <w:rFonts w:ascii="Times New Roman" w:hAnsi="Times New Roman"/>
          <w:b w:val="0"/>
          <w:color w:val="000000"/>
          <w:sz w:val="24"/>
        </w:rPr>
      </w:r>
      <w:r>
        <w:rPr>
          <w:rFonts w:ascii="Times New Roman" w:hAnsi="Times New Roman"/>
          <w:i w:val="0"/>
          <w:color w:val="000000"/>
          <w:sz w:val="24"/>
        </w:rPr>
        <w:t xml:space="preserve">Greshake, K., Abdelnabi, S., Mishra, S., Endres, C., Holz, T., &amp; Fritz, M. (2023). </w:t>
      </w:r>
      <w:r>
        <w:rPr>
          <w:rFonts w:ascii="Times New Roman" w:hAnsi="Times New Roman"/>
          <w:i/>
          <w:color w:val="000000"/>
          <w:sz w:val="24"/>
        </w:rPr>
        <w:t>Not what you've signed up for: Compromising real-world LLM-integrated applications with indirect prompt injection</w:t>
      </w:r>
      <w:r>
        <w:rPr>
          <w:rFonts w:ascii="Times New Roman" w:hAnsi="Times New Roman"/>
          <w:i w:val="0"/>
          <w:color w:val="000000"/>
          <w:sz w:val="24"/>
        </w:rPr>
        <w:t xml:space="preserve"> [Preprint]. arXiv. https://doi.org/10.48550/arXiv.2302.12173</w:t>
      </w:r>
    </w:p>
    <w:p>
      <w:pPr>
        <w:keepNext w:val="0"/>
        <w:keepLines w:val="0"/>
        <w:spacing w:before="0" w:after="200" w:line="360" w:lineRule="auto"/>
        <w:ind w:left="360" w:hanging="360"/>
        <w:jc w:val="left"/>
      </w:pPr>
      <w:r>
        <w:rPr>
          <w:rFonts w:ascii="Times New Roman" w:hAnsi="Times New Roman"/>
          <w:b w:val="0"/>
          <w:color w:val="000000"/>
          <w:sz w:val="24"/>
        </w:rPr>
      </w:r>
      <w:r>
        <w:rPr>
          <w:rFonts w:ascii="Times New Roman" w:hAnsi="Times New Roman"/>
          <w:i w:val="0"/>
          <w:color w:val="000000"/>
          <w:sz w:val="24"/>
        </w:rPr>
        <w:t xml:space="preserve">Karpukhin, V., Oguz, B., Min, S., Lewis, P., Wu, L., Edunov, S., Chen, D., &amp; Yih, W.-t. (2020). Dense passage retrieval for open-domain question answering. In </w:t>
      </w:r>
      <w:r>
        <w:rPr>
          <w:rFonts w:ascii="Times New Roman" w:hAnsi="Times New Roman"/>
          <w:i/>
          <w:color w:val="000000"/>
          <w:sz w:val="24"/>
        </w:rPr>
        <w:t>Proceedings of the 2020 Conference on Empirical Methods in Natural Language Processing</w:t>
      </w:r>
      <w:r>
        <w:rPr>
          <w:rFonts w:ascii="Times New Roman" w:hAnsi="Times New Roman"/>
          <w:i w:val="0"/>
          <w:color w:val="000000"/>
          <w:sz w:val="24"/>
        </w:rPr>
        <w:t xml:space="preserve"> (pp. 6769–6781). https://doi.org/10.18653/v1/2020.emnlp-main.550</w:t>
      </w:r>
    </w:p>
    <w:p>
      <w:pPr>
        <w:keepNext w:val="0"/>
        <w:keepLines w:val="0"/>
        <w:spacing w:before="0" w:after="200" w:line="360" w:lineRule="auto"/>
        <w:ind w:left="360" w:hanging="360"/>
        <w:jc w:val="left"/>
      </w:pPr>
      <w:r>
        <w:rPr>
          <w:rFonts w:ascii="Times New Roman" w:hAnsi="Times New Roman"/>
          <w:b w:val="0"/>
          <w:color w:val="000000"/>
          <w:sz w:val="24"/>
        </w:rPr>
      </w:r>
      <w:r>
        <w:rPr>
          <w:rFonts w:ascii="Times New Roman" w:hAnsi="Times New Roman"/>
          <w:i w:val="0"/>
          <w:color w:val="000000"/>
          <w:sz w:val="24"/>
        </w:rPr>
        <w:t xml:space="preserve">Kleppmann, M., Wiggins, A., van Hardenberg, P., &amp; McGranaghan, M. (2019). Local-first software: You own your data, in spite of the cloud. In </w:t>
      </w:r>
      <w:r>
        <w:rPr>
          <w:rFonts w:ascii="Times New Roman" w:hAnsi="Times New Roman"/>
          <w:i/>
          <w:color w:val="000000"/>
          <w:sz w:val="24"/>
        </w:rPr>
        <w:t>Proceedings of the 2019 ACM SIGPLAN International Symposium on New Ideas, New Paradigms, and Reflections on Programming and Software</w:t>
      </w:r>
      <w:r>
        <w:rPr>
          <w:rFonts w:ascii="Times New Roman" w:hAnsi="Times New Roman"/>
          <w:i w:val="0"/>
          <w:color w:val="000000"/>
          <w:sz w:val="24"/>
        </w:rPr>
        <w:t>. https://doi.org/10.1145/3359591.3359737</w:t>
      </w:r>
    </w:p>
    <w:p>
      <w:pPr>
        <w:keepNext w:val="0"/>
        <w:keepLines w:val="0"/>
        <w:spacing w:before="0" w:after="200" w:line="360" w:lineRule="auto"/>
        <w:ind w:left="360" w:hanging="360"/>
        <w:jc w:val="left"/>
      </w:pPr>
      <w:r>
        <w:rPr>
          <w:rFonts w:ascii="Times New Roman" w:hAnsi="Times New Roman"/>
          <w:b w:val="0"/>
          <w:color w:val="000000"/>
          <w:sz w:val="24"/>
        </w:rPr>
      </w:r>
      <w:r>
        <w:rPr>
          <w:rFonts w:ascii="Times New Roman" w:hAnsi="Times New Roman"/>
          <w:i w:val="0"/>
          <w:color w:val="000000"/>
          <w:sz w:val="24"/>
        </w:rPr>
        <w:t xml:space="preserve">Lewis, P., Perez, E., Piktus, A., Petroni, F., Karpukhin, V., Goyal, N., Küttler, H., Lewis, M., Yih, W.-t., Rocktäschel, T., Riedel, S., &amp; Kiela, D. (2020). Retrieval-augmented generation for knowledge-intensive NLP tasks. </w:t>
      </w:r>
      <w:r>
        <w:rPr>
          <w:rFonts w:ascii="Times New Roman" w:hAnsi="Times New Roman"/>
          <w:i/>
          <w:color w:val="000000"/>
          <w:sz w:val="24"/>
        </w:rPr>
        <w:t>Advances in Neural Information Processing Systems, 33</w:t>
      </w:r>
      <w:r>
        <w:rPr>
          <w:rFonts w:ascii="Times New Roman" w:hAnsi="Times New Roman"/>
          <w:i w:val="0"/>
          <w:color w:val="000000"/>
          <w:sz w:val="24"/>
        </w:rPr>
        <w:t>. https://arxiv.org/abs/2005.11401</w:t>
      </w:r>
    </w:p>
    <w:p>
      <w:pPr>
        <w:keepNext/>
        <w:keepLines w:val="0"/>
        <w:pageBreakBefore/>
        <w:spacing w:before="0" w:after="280" w:line="276" w:lineRule="auto"/>
        <w:jc w:val="center"/>
      </w:pPr>
      <w:r>
        <w:rPr>
          <w:rFonts w:ascii="Times New Roman" w:hAnsi="Times New Roman"/>
          <w:b/>
          <w:color w:val="000000"/>
          <w:sz w:val="28"/>
        </w:rPr>
        <w:t>REFERENCES — continued</w:t>
      </w:r>
    </w:p>
    <w:p>
      <w:pPr>
        <w:keepNext w:val="0"/>
        <w:keepLines w:val="0"/>
        <w:spacing w:before="0" w:after="200" w:line="360" w:lineRule="auto"/>
        <w:ind w:left="360" w:hanging="360"/>
        <w:jc w:val="left"/>
      </w:pPr>
      <w:r>
        <w:rPr>
          <w:rFonts w:ascii="Times New Roman" w:hAnsi="Times New Roman"/>
          <w:b w:val="0"/>
          <w:color w:val="000000"/>
          <w:sz w:val="24"/>
        </w:rPr>
      </w:r>
      <w:r>
        <w:rPr>
          <w:rFonts w:ascii="Times New Roman" w:hAnsi="Times New Roman"/>
          <w:i w:val="0"/>
          <w:color w:val="000000"/>
          <w:sz w:val="24"/>
        </w:rPr>
        <w:t xml:space="preserve">Liu, N. F., Lin, K., Hewitt, J., Paranjape, A., Bevilacqua, M., Petroni, F., &amp; Liang, P. (2024). Lost in the middle: How language models use long contexts. </w:t>
      </w:r>
      <w:r>
        <w:rPr>
          <w:rFonts w:ascii="Times New Roman" w:hAnsi="Times New Roman"/>
          <w:i/>
          <w:color w:val="000000"/>
          <w:sz w:val="24"/>
        </w:rPr>
        <w:t>Transactions of the Association for Computational Linguistics, 12</w:t>
      </w:r>
      <w:r>
        <w:rPr>
          <w:rFonts w:ascii="Times New Roman" w:hAnsi="Times New Roman"/>
          <w:i w:val="0"/>
          <w:color w:val="000000"/>
          <w:sz w:val="24"/>
        </w:rPr>
        <w:t>, 157–173. https://doi.org/10.1162/tacl_a_00638</w:t>
      </w:r>
    </w:p>
    <w:p>
      <w:pPr>
        <w:keepNext w:val="0"/>
        <w:keepLines w:val="0"/>
        <w:spacing w:before="0" w:after="200" w:line="360" w:lineRule="auto"/>
        <w:ind w:left="360" w:hanging="360"/>
        <w:jc w:val="left"/>
      </w:pPr>
      <w:r>
        <w:rPr>
          <w:rFonts w:ascii="Times New Roman" w:hAnsi="Times New Roman"/>
          <w:b w:val="0"/>
          <w:color w:val="000000"/>
          <w:sz w:val="24"/>
        </w:rPr>
      </w:r>
      <w:r>
        <w:rPr>
          <w:rFonts w:ascii="Times New Roman" w:hAnsi="Times New Roman"/>
          <w:i w:val="0"/>
          <w:color w:val="000000"/>
          <w:sz w:val="24"/>
        </w:rPr>
        <w:t xml:space="preserve">Model Context Protocol contributors. (2025). </w:t>
      </w:r>
      <w:r>
        <w:rPr>
          <w:rFonts w:ascii="Times New Roman" w:hAnsi="Times New Roman"/>
          <w:i/>
          <w:color w:val="000000"/>
          <w:sz w:val="24"/>
        </w:rPr>
        <w:t>Model Context Protocol specification</w:t>
      </w:r>
      <w:r>
        <w:rPr>
          <w:rFonts w:ascii="Times New Roman" w:hAnsi="Times New Roman"/>
          <w:i w:val="0"/>
          <w:color w:val="000000"/>
          <w:sz w:val="24"/>
        </w:rPr>
        <w:t xml:space="preserve"> (Revision 2025-11-25). Retrieved October 17, 2026, from https://modelcontextprotocol.io/specification/2025-11-25</w:t>
      </w:r>
    </w:p>
    <w:p>
      <w:pPr>
        <w:keepNext w:val="0"/>
        <w:keepLines w:val="0"/>
        <w:spacing w:before="0" w:after="200" w:line="360" w:lineRule="auto"/>
        <w:ind w:left="360" w:hanging="360"/>
        <w:jc w:val="left"/>
      </w:pPr>
      <w:r>
        <w:rPr>
          <w:rFonts w:ascii="Times New Roman" w:hAnsi="Times New Roman"/>
          <w:b w:val="0"/>
          <w:color w:val="000000"/>
          <w:sz w:val="24"/>
        </w:rPr>
      </w:r>
      <w:r>
        <w:rPr>
          <w:rFonts w:ascii="Times New Roman" w:hAnsi="Times New Roman"/>
          <w:i w:val="0"/>
          <w:color w:val="000000"/>
          <w:sz w:val="24"/>
        </w:rPr>
        <w:t xml:space="preserve">Muennighoff, N., Tazi, N., Magne, L., &amp; Reimers, N. (2023). MTEB: Massive text embedding benchmark. In </w:t>
      </w:r>
      <w:r>
        <w:rPr>
          <w:rFonts w:ascii="Times New Roman" w:hAnsi="Times New Roman"/>
          <w:i/>
          <w:color w:val="000000"/>
          <w:sz w:val="24"/>
        </w:rPr>
        <w:t>Proceedings of the 17th Conference of the European Chapter of the Association for Computational Linguistics</w:t>
      </w:r>
      <w:r>
        <w:rPr>
          <w:rFonts w:ascii="Times New Roman" w:hAnsi="Times New Roman"/>
          <w:i w:val="0"/>
          <w:color w:val="000000"/>
          <w:sz w:val="24"/>
        </w:rPr>
        <w:t xml:space="preserve"> (pp. 2014–2037). https://doi.org/10.18653/v1/2023.eacl-main.148</w:t>
      </w:r>
    </w:p>
    <w:p>
      <w:pPr>
        <w:keepNext w:val="0"/>
        <w:keepLines w:val="0"/>
        <w:spacing w:before="0" w:after="200" w:line="360" w:lineRule="auto"/>
        <w:ind w:left="360" w:hanging="360"/>
        <w:jc w:val="left"/>
      </w:pPr>
      <w:r>
        <w:rPr>
          <w:rFonts w:ascii="Times New Roman" w:hAnsi="Times New Roman"/>
          <w:b w:val="0"/>
          <w:color w:val="000000"/>
          <w:sz w:val="24"/>
        </w:rPr>
      </w:r>
      <w:r>
        <w:rPr>
          <w:rFonts w:ascii="Times New Roman" w:hAnsi="Times New Roman"/>
          <w:i w:val="0"/>
          <w:color w:val="000000"/>
          <w:sz w:val="24"/>
        </w:rPr>
        <w:t xml:space="preserve">Ollama. (n.d.). </w:t>
      </w:r>
      <w:r>
        <w:rPr>
          <w:rFonts w:ascii="Times New Roman" w:hAnsi="Times New Roman"/>
          <w:i/>
          <w:color w:val="000000"/>
          <w:sz w:val="24"/>
        </w:rPr>
        <w:t>FAQ</w:t>
      </w:r>
      <w:r>
        <w:rPr>
          <w:rFonts w:ascii="Times New Roman" w:hAnsi="Times New Roman"/>
          <w:i w:val="0"/>
          <w:color w:val="000000"/>
          <w:sz w:val="24"/>
        </w:rPr>
        <w:t>. Retrieved October 17, 2026, from https://docs.ollama.com/faq</w:t>
      </w:r>
    </w:p>
    <w:p>
      <w:pPr>
        <w:keepNext w:val="0"/>
        <w:keepLines w:val="0"/>
        <w:spacing w:before="0" w:after="200" w:line="360" w:lineRule="auto"/>
        <w:ind w:left="360" w:hanging="360"/>
        <w:jc w:val="left"/>
      </w:pPr>
      <w:r>
        <w:rPr>
          <w:rFonts w:ascii="Times New Roman" w:hAnsi="Times New Roman"/>
          <w:b w:val="0"/>
          <w:color w:val="000000"/>
          <w:sz w:val="24"/>
        </w:rPr>
      </w:r>
      <w:r>
        <w:rPr>
          <w:rFonts w:ascii="Times New Roman" w:hAnsi="Times New Roman"/>
          <w:i w:val="0"/>
          <w:color w:val="000000"/>
          <w:sz w:val="24"/>
        </w:rPr>
        <w:t xml:space="preserve">Packer, C., Wooders, S., Lin, K., Fang, V., Patil, S. G., Stoica, I., &amp; Gonzalez, J. E. (2023). </w:t>
      </w:r>
      <w:r>
        <w:rPr>
          <w:rFonts w:ascii="Times New Roman" w:hAnsi="Times New Roman"/>
          <w:i/>
          <w:color w:val="000000"/>
          <w:sz w:val="24"/>
        </w:rPr>
        <w:t>MemGPT: Towards LLMs as operating systems</w:t>
      </w:r>
      <w:r>
        <w:rPr>
          <w:rFonts w:ascii="Times New Roman" w:hAnsi="Times New Roman"/>
          <w:i w:val="0"/>
          <w:color w:val="000000"/>
          <w:sz w:val="24"/>
        </w:rPr>
        <w:t xml:space="preserve"> [Preprint, revised 2024]. arXiv. https://doi.org/10.48550/arXiv.2310.08560</w:t>
      </w:r>
    </w:p>
    <w:p>
      <w:pPr>
        <w:keepNext w:val="0"/>
        <w:keepLines w:val="0"/>
        <w:spacing w:before="0" w:after="200" w:line="360" w:lineRule="auto"/>
        <w:ind w:left="360" w:hanging="360"/>
        <w:jc w:val="left"/>
      </w:pPr>
      <w:r>
        <w:rPr>
          <w:rFonts w:ascii="Times New Roman" w:hAnsi="Times New Roman"/>
          <w:b w:val="0"/>
          <w:color w:val="000000"/>
          <w:sz w:val="24"/>
        </w:rPr>
      </w:r>
      <w:r>
        <w:rPr>
          <w:rFonts w:ascii="Times New Roman" w:hAnsi="Times New Roman"/>
          <w:i w:val="0"/>
          <w:color w:val="000000"/>
          <w:sz w:val="24"/>
        </w:rPr>
        <w:t xml:space="preserve">Park, J. S., O'Brien, J. C., Cai, C. J., Morris, M. R., Liang, P., &amp; Bernstein, M. S. (2023). </w:t>
      </w:r>
      <w:r>
        <w:rPr>
          <w:rFonts w:ascii="Times New Roman" w:hAnsi="Times New Roman"/>
          <w:i/>
          <w:color w:val="000000"/>
          <w:sz w:val="24"/>
        </w:rPr>
        <w:t>Generative agents: Interactive simulacra of human behavior</w:t>
      </w:r>
      <w:r>
        <w:rPr>
          <w:rFonts w:ascii="Times New Roman" w:hAnsi="Times New Roman"/>
          <w:i w:val="0"/>
          <w:color w:val="000000"/>
          <w:sz w:val="24"/>
        </w:rPr>
        <w:t xml:space="preserve"> [Preprint]. arXiv. https://doi.org/10.48550/arXiv.2304.03442</w:t>
      </w:r>
    </w:p>
    <w:p>
      <w:pPr>
        <w:keepNext w:val="0"/>
        <w:keepLines w:val="0"/>
        <w:spacing w:before="0" w:after="200" w:line="360" w:lineRule="auto"/>
        <w:ind w:left="360" w:hanging="360"/>
        <w:jc w:val="left"/>
      </w:pPr>
      <w:r>
        <w:rPr>
          <w:rFonts w:ascii="Times New Roman" w:hAnsi="Times New Roman"/>
          <w:b w:val="0"/>
          <w:color w:val="000000"/>
          <w:sz w:val="24"/>
        </w:rPr>
      </w:r>
      <w:r>
        <w:rPr>
          <w:rFonts w:ascii="Times New Roman" w:hAnsi="Times New Roman"/>
          <w:i w:val="0"/>
          <w:color w:val="000000"/>
          <w:sz w:val="24"/>
        </w:rPr>
        <w:t xml:space="preserve">Reimers, N., &amp; Gurevych, I. (2019). Sentence-BERT: Sentence embeddings using Siamese BERT-networks. In </w:t>
      </w:r>
      <w:r>
        <w:rPr>
          <w:rFonts w:ascii="Times New Roman" w:hAnsi="Times New Roman"/>
          <w:i/>
          <w:color w:val="000000"/>
          <w:sz w:val="24"/>
        </w:rPr>
        <w:t>Proceedings of the 2019 Conference on Empirical Methods in Natural Language Processing and the 9th International Joint Conference on Natural Language Processing</w:t>
      </w:r>
      <w:r>
        <w:rPr>
          <w:rFonts w:ascii="Times New Roman" w:hAnsi="Times New Roman"/>
          <w:i w:val="0"/>
          <w:color w:val="000000"/>
          <w:sz w:val="24"/>
        </w:rPr>
        <w:t xml:space="preserve"> (pp. 3982–3992). https://doi.org/10.18653/v1/D19-1410</w:t>
      </w:r>
    </w:p>
    <w:p>
      <w:pPr>
        <w:keepNext/>
        <w:keepLines w:val="0"/>
        <w:pageBreakBefore/>
        <w:spacing w:before="0" w:after="280" w:line="276" w:lineRule="auto"/>
        <w:jc w:val="center"/>
      </w:pPr>
      <w:r>
        <w:rPr>
          <w:rFonts w:ascii="Times New Roman" w:hAnsi="Times New Roman"/>
          <w:b/>
          <w:color w:val="000000"/>
          <w:sz w:val="28"/>
        </w:rPr>
        <w:t>REFERENCES — continued</w:t>
      </w:r>
    </w:p>
    <w:p>
      <w:pPr>
        <w:keepNext w:val="0"/>
        <w:keepLines w:val="0"/>
        <w:spacing w:before="0" w:after="200" w:line="360" w:lineRule="auto"/>
        <w:ind w:left="360" w:hanging="360"/>
        <w:jc w:val="left"/>
      </w:pPr>
      <w:r>
        <w:rPr>
          <w:rFonts w:ascii="Times New Roman" w:hAnsi="Times New Roman"/>
          <w:b w:val="0"/>
          <w:color w:val="000000"/>
          <w:sz w:val="24"/>
        </w:rPr>
      </w:r>
      <w:r>
        <w:rPr>
          <w:rFonts w:ascii="Times New Roman" w:hAnsi="Times New Roman"/>
          <w:i w:val="0"/>
          <w:color w:val="000000"/>
          <w:sz w:val="24"/>
        </w:rPr>
        <w:t xml:space="preserve">Robertson, S., &amp; Zaragoza, H. (2009). The probabilistic relevance framework: BM25 and beyond. </w:t>
      </w:r>
      <w:r>
        <w:rPr>
          <w:rFonts w:ascii="Times New Roman" w:hAnsi="Times New Roman"/>
          <w:i/>
          <w:color w:val="000000"/>
          <w:sz w:val="24"/>
        </w:rPr>
        <w:t>Foundations and Trends in Information Retrieval, 3</w:t>
      </w:r>
      <w:r>
        <w:rPr>
          <w:rFonts w:ascii="Times New Roman" w:hAnsi="Times New Roman"/>
          <w:i w:val="0"/>
          <w:color w:val="000000"/>
          <w:sz w:val="24"/>
        </w:rPr>
        <w:t>(4), 333–389. https://doi.org/10.1561/1500000019</w:t>
      </w:r>
    </w:p>
    <w:p>
      <w:pPr>
        <w:keepNext w:val="0"/>
        <w:keepLines w:val="0"/>
        <w:spacing w:before="0" w:after="200" w:line="360" w:lineRule="auto"/>
        <w:ind w:left="360" w:hanging="360"/>
        <w:jc w:val="left"/>
      </w:pPr>
      <w:r>
        <w:rPr>
          <w:rFonts w:ascii="Times New Roman" w:hAnsi="Times New Roman"/>
          <w:b w:val="0"/>
          <w:color w:val="000000"/>
          <w:sz w:val="24"/>
        </w:rPr>
      </w:r>
      <w:r>
        <w:rPr>
          <w:rFonts w:ascii="Times New Roman" w:hAnsi="Times New Roman"/>
          <w:i w:val="0"/>
          <w:color w:val="000000"/>
          <w:sz w:val="24"/>
        </w:rPr>
        <w:t xml:space="preserve">Schick, T., Dwivedi-Yu, J., Dessì, R., Raileanu, R., Lomeli, M., Zettlemoyer, L., Cancedda, N., &amp; Scialom, T. (2023). Toolformer: Language models can teach themselves to use tools. </w:t>
      </w:r>
      <w:r>
        <w:rPr>
          <w:rFonts w:ascii="Times New Roman" w:hAnsi="Times New Roman"/>
          <w:i/>
          <w:color w:val="000000"/>
          <w:sz w:val="24"/>
        </w:rPr>
        <w:t>Advances in Neural Information Processing Systems, 36</w:t>
      </w:r>
      <w:r>
        <w:rPr>
          <w:rFonts w:ascii="Times New Roman" w:hAnsi="Times New Roman"/>
          <w:i w:val="0"/>
          <w:color w:val="000000"/>
          <w:sz w:val="24"/>
        </w:rPr>
        <w:t>. https://arxiv.org/abs/2302.04761</w:t>
      </w:r>
    </w:p>
    <w:p>
      <w:pPr>
        <w:keepNext w:val="0"/>
        <w:keepLines w:val="0"/>
        <w:spacing w:before="0" w:after="200" w:line="360" w:lineRule="auto"/>
        <w:ind w:left="360" w:hanging="360"/>
        <w:jc w:val="left"/>
      </w:pPr>
      <w:r>
        <w:rPr>
          <w:rFonts w:ascii="Times New Roman" w:hAnsi="Times New Roman"/>
          <w:b w:val="0"/>
          <w:color w:val="000000"/>
          <w:sz w:val="24"/>
        </w:rPr>
      </w:r>
      <w:r>
        <w:rPr>
          <w:rFonts w:ascii="Times New Roman" w:hAnsi="Times New Roman"/>
          <w:i w:val="0"/>
          <w:color w:val="000000"/>
          <w:sz w:val="24"/>
        </w:rPr>
        <w:t xml:space="preserve">Shinn, N., Cassano, F., Gopinath, A., Narasimhan, K., &amp; Yao, S. (2023). Reflexion: Language agents with verbal reinforcement learning. </w:t>
      </w:r>
      <w:r>
        <w:rPr>
          <w:rFonts w:ascii="Times New Roman" w:hAnsi="Times New Roman"/>
          <w:i/>
          <w:color w:val="000000"/>
          <w:sz w:val="24"/>
        </w:rPr>
        <w:t>Advances in Neural Information Processing Systems, 36</w:t>
      </w:r>
      <w:r>
        <w:rPr>
          <w:rFonts w:ascii="Times New Roman" w:hAnsi="Times New Roman"/>
          <w:i w:val="0"/>
          <w:color w:val="000000"/>
          <w:sz w:val="24"/>
        </w:rPr>
        <w:t>. https://arxiv.org/abs/2303.11366</w:t>
      </w:r>
    </w:p>
    <w:p>
      <w:pPr>
        <w:keepNext w:val="0"/>
        <w:keepLines w:val="0"/>
        <w:spacing w:before="0" w:after="200" w:line="360" w:lineRule="auto"/>
        <w:ind w:left="360" w:hanging="360"/>
        <w:jc w:val="left"/>
      </w:pPr>
      <w:r>
        <w:rPr>
          <w:rFonts w:ascii="Times New Roman" w:hAnsi="Times New Roman"/>
          <w:b w:val="0"/>
          <w:color w:val="000000"/>
          <w:sz w:val="24"/>
        </w:rPr>
      </w:r>
      <w:r>
        <w:rPr>
          <w:rFonts w:ascii="Times New Roman" w:hAnsi="Times New Roman"/>
          <w:i w:val="0"/>
          <w:color w:val="000000"/>
          <w:sz w:val="24"/>
        </w:rPr>
        <w:t xml:space="preserve">SQLite developers. (n.d.). </w:t>
      </w:r>
      <w:r>
        <w:rPr>
          <w:rFonts w:ascii="Times New Roman" w:hAnsi="Times New Roman"/>
          <w:i/>
          <w:color w:val="000000"/>
          <w:sz w:val="24"/>
        </w:rPr>
        <w:t>SQLite FTS5 extension</w:t>
      </w:r>
      <w:r>
        <w:rPr>
          <w:rFonts w:ascii="Times New Roman" w:hAnsi="Times New Roman"/>
          <w:i w:val="0"/>
          <w:color w:val="000000"/>
          <w:sz w:val="24"/>
        </w:rPr>
        <w:t>. Retrieved October 17, 2026, from https://sqlite.org/fts5.html</w:t>
      </w:r>
    </w:p>
    <w:p>
      <w:pPr>
        <w:keepNext w:val="0"/>
        <w:keepLines w:val="0"/>
        <w:spacing w:before="0" w:after="200" w:line="360" w:lineRule="auto"/>
        <w:ind w:left="360" w:hanging="360"/>
        <w:jc w:val="left"/>
      </w:pPr>
      <w:r>
        <w:rPr>
          <w:rFonts w:ascii="Times New Roman" w:hAnsi="Times New Roman"/>
          <w:b w:val="0"/>
          <w:color w:val="000000"/>
          <w:sz w:val="24"/>
        </w:rPr>
      </w:r>
      <w:r>
        <w:rPr>
          <w:rFonts w:ascii="Times New Roman" w:hAnsi="Times New Roman"/>
          <w:i w:val="0"/>
          <w:color w:val="000000"/>
          <w:sz w:val="24"/>
        </w:rPr>
        <w:t xml:space="preserve">Thakur, N., Reimers, N., Rücklé, A., Srivastava, A., &amp; Gurevych, I. (2021). BEIR: A heterogeneous benchmark for zero-shot evaluation of information retrieval models. </w:t>
      </w:r>
      <w:r>
        <w:rPr>
          <w:rFonts w:ascii="Times New Roman" w:hAnsi="Times New Roman"/>
          <w:i/>
          <w:color w:val="000000"/>
          <w:sz w:val="24"/>
        </w:rPr>
        <w:t>Proceedings of the Neural Information Processing Systems Track on Datasets and Benchmarks, 1</w:t>
      </w:r>
      <w:r>
        <w:rPr>
          <w:rFonts w:ascii="Times New Roman" w:hAnsi="Times New Roman"/>
          <w:i w:val="0"/>
          <w:color w:val="000000"/>
          <w:sz w:val="24"/>
        </w:rPr>
        <w:t>. https://arxiv.org/abs/2104.08663</w:t>
      </w:r>
    </w:p>
    <w:p>
      <w:pPr>
        <w:keepNext w:val="0"/>
        <w:keepLines w:val="0"/>
        <w:spacing w:before="0" w:after="200" w:line="360" w:lineRule="auto"/>
        <w:ind w:left="360" w:hanging="360"/>
        <w:jc w:val="left"/>
      </w:pPr>
      <w:r>
        <w:rPr>
          <w:rFonts w:ascii="Times New Roman" w:hAnsi="Times New Roman"/>
          <w:b w:val="0"/>
          <w:color w:val="000000"/>
          <w:sz w:val="24"/>
        </w:rPr>
      </w:r>
      <w:r>
        <w:rPr>
          <w:rFonts w:ascii="Times New Roman" w:hAnsi="Times New Roman"/>
          <w:i w:val="0"/>
          <w:color w:val="000000"/>
          <w:sz w:val="24"/>
        </w:rPr>
        <w:t xml:space="preserve">TrijalBurman. (2026a). </w:t>
      </w:r>
      <w:r>
        <w:rPr>
          <w:rFonts w:ascii="Times New Roman" w:hAnsi="Times New Roman"/>
          <w:i/>
          <w:color w:val="000000"/>
          <w:sz w:val="24"/>
        </w:rPr>
        <w:t>LocalMind local knowledge copilot—Linux edition</w:t>
      </w:r>
      <w:r>
        <w:rPr>
          <w:rFonts w:ascii="Times New Roman" w:hAnsi="Times New Roman"/>
          <w:i w:val="0"/>
          <w:color w:val="000000"/>
          <w:sz w:val="24"/>
        </w:rPr>
        <w:t xml:space="preserve"> (Commit ddbbbb7be35a83c6ebc32706bb0aaf41ff379ff8) [Source code]. GitHub. https://github.com/TrijalBurman/MCP-Server/tree/ddbbbb7be35a83c6ebc32706bb0aaf41ff379ff8</w:t>
      </w:r>
    </w:p>
    <w:p>
      <w:pPr>
        <w:keepNext/>
        <w:keepLines w:val="0"/>
        <w:pageBreakBefore/>
        <w:spacing w:before="0" w:after="280" w:line="276" w:lineRule="auto"/>
        <w:jc w:val="center"/>
      </w:pPr>
      <w:r>
        <w:rPr>
          <w:rFonts w:ascii="Times New Roman" w:hAnsi="Times New Roman"/>
          <w:b/>
          <w:color w:val="000000"/>
          <w:sz w:val="28"/>
        </w:rPr>
        <w:t>REFERENCES — continued</w:t>
      </w:r>
    </w:p>
    <w:p>
      <w:pPr>
        <w:keepNext w:val="0"/>
        <w:keepLines w:val="0"/>
        <w:spacing w:before="0" w:after="200" w:line="360" w:lineRule="auto"/>
        <w:ind w:left="360" w:hanging="360"/>
        <w:jc w:val="left"/>
      </w:pPr>
      <w:r>
        <w:rPr>
          <w:rFonts w:ascii="Times New Roman" w:hAnsi="Times New Roman"/>
          <w:b w:val="0"/>
          <w:color w:val="000000"/>
          <w:sz w:val="24"/>
        </w:rPr>
      </w:r>
      <w:r>
        <w:rPr>
          <w:rFonts w:ascii="Times New Roman" w:hAnsi="Times New Roman"/>
          <w:i w:val="0"/>
          <w:color w:val="000000"/>
          <w:sz w:val="24"/>
        </w:rPr>
        <w:t xml:space="preserve">TrijalBurman. (2026b). </w:t>
      </w:r>
      <w:r>
        <w:rPr>
          <w:rFonts w:ascii="Times New Roman" w:hAnsi="Times New Roman"/>
          <w:i/>
          <w:color w:val="000000"/>
          <w:sz w:val="24"/>
        </w:rPr>
        <w:t>Native Windows validation workflow</w:t>
      </w:r>
      <w:r>
        <w:rPr>
          <w:rFonts w:ascii="Times New Roman" w:hAnsi="Times New Roman"/>
          <w:i w:val="0"/>
          <w:color w:val="000000"/>
          <w:sz w:val="24"/>
        </w:rPr>
        <w:t xml:space="preserve"> (Run 37470160711, commit 0e0bbf6f944bc6f2534f882c858ca4cdd22e6443) [Continuous integration execution]. GitHub Actions. https://github.com/TrijalBurman/MCP-Server/actions/runs/37470160711</w:t>
      </w:r>
    </w:p>
    <w:p>
      <w:pPr>
        <w:keepNext w:val="0"/>
        <w:keepLines w:val="0"/>
        <w:spacing w:before="0" w:after="200" w:line="360" w:lineRule="auto"/>
        <w:ind w:left="360" w:hanging="360"/>
        <w:jc w:val="left"/>
      </w:pPr>
      <w:r>
        <w:rPr>
          <w:rFonts w:ascii="Times New Roman" w:hAnsi="Times New Roman"/>
          <w:b w:val="0"/>
          <w:color w:val="000000"/>
          <w:sz w:val="24"/>
        </w:rPr>
      </w:r>
      <w:r>
        <w:rPr>
          <w:rFonts w:ascii="Times New Roman" w:hAnsi="Times New Roman"/>
          <w:i w:val="0"/>
          <w:color w:val="000000"/>
          <w:sz w:val="24"/>
        </w:rPr>
        <w:t xml:space="preserve">Vera, H. S., Dua, S., Zhang, B., Salz, D., Mullins, R., Panyam, S. R., Smoot, S., Naim, I., Zou, J., Chen, F., Cer, D., Lisak, A., Choi, M., Gonzalez, L., Sanseviero, O., Cameron, G., Ballantyne, I., Black, K., Chen, K., … Seyedhosseini, M. (2025). </w:t>
      </w:r>
      <w:r>
        <w:rPr>
          <w:rFonts w:ascii="Times New Roman" w:hAnsi="Times New Roman"/>
          <w:i/>
          <w:color w:val="000000"/>
          <w:sz w:val="24"/>
        </w:rPr>
        <w:t>EmbeddingGemma: Powerful and lightweight text representations</w:t>
      </w:r>
      <w:r>
        <w:rPr>
          <w:rFonts w:ascii="Times New Roman" w:hAnsi="Times New Roman"/>
          <w:i w:val="0"/>
          <w:color w:val="000000"/>
          <w:sz w:val="24"/>
        </w:rPr>
        <w:t xml:space="preserve"> [Technical report]. arXiv. https://doi.org/10.48550/arXiv.2509.20354</w:t>
      </w:r>
    </w:p>
    <w:p>
      <w:pPr>
        <w:keepNext w:val="0"/>
        <w:keepLines w:val="0"/>
        <w:spacing w:before="0" w:after="200" w:line="360" w:lineRule="auto"/>
        <w:ind w:left="360" w:hanging="360"/>
        <w:jc w:val="left"/>
      </w:pPr>
      <w:r>
        <w:rPr>
          <w:rFonts w:ascii="Times New Roman" w:hAnsi="Times New Roman"/>
          <w:b w:val="0"/>
          <w:color w:val="000000"/>
          <w:sz w:val="24"/>
        </w:rPr>
      </w:r>
      <w:r>
        <w:rPr>
          <w:rFonts w:ascii="Times New Roman" w:hAnsi="Times New Roman"/>
          <w:i w:val="0"/>
          <w:color w:val="000000"/>
          <w:sz w:val="24"/>
        </w:rPr>
        <w:t xml:space="preserve">Wang, W., Dong, L., Cheng, H., Liu, X., Yan, X., Gao, J., &amp; Wei, F. (2023). Augmenting language models with long-term memory. </w:t>
      </w:r>
      <w:r>
        <w:rPr>
          <w:rFonts w:ascii="Times New Roman" w:hAnsi="Times New Roman"/>
          <w:i/>
          <w:color w:val="000000"/>
          <w:sz w:val="24"/>
        </w:rPr>
        <w:t>Advances in Neural Information Processing Systems, 36</w:t>
      </w:r>
      <w:r>
        <w:rPr>
          <w:rFonts w:ascii="Times New Roman" w:hAnsi="Times New Roman"/>
          <w:i w:val="0"/>
          <w:color w:val="000000"/>
          <w:sz w:val="24"/>
        </w:rPr>
        <w:t>. https://arxiv.org/abs/2306.07174</w:t>
      </w:r>
    </w:p>
    <w:p>
      <w:pPr>
        <w:keepNext w:val="0"/>
        <w:keepLines w:val="0"/>
        <w:spacing w:before="0" w:after="200" w:line="360" w:lineRule="auto"/>
        <w:ind w:left="360" w:hanging="360"/>
        <w:jc w:val="left"/>
      </w:pPr>
      <w:r>
        <w:rPr>
          <w:rFonts w:ascii="Times New Roman" w:hAnsi="Times New Roman"/>
          <w:b w:val="0"/>
          <w:color w:val="000000"/>
          <w:sz w:val="24"/>
        </w:rPr>
      </w:r>
      <w:r>
        <w:rPr>
          <w:rFonts w:ascii="Times New Roman" w:hAnsi="Times New Roman"/>
          <w:i w:val="0"/>
          <w:color w:val="000000"/>
          <w:sz w:val="24"/>
        </w:rPr>
        <w:t xml:space="preserve">Yang, A., Li, A., Yang, B., Zhang, B., Hui, B., Zheng, B., Yu, B., Gao, C., Huang, C., Lv, C., Zheng, C., Liu, D., Zhou, F., Huang, F., Hu, F., Ge, H., Wei, H., Lin, H., Tang, J., … Qiu, Z. (2025). </w:t>
      </w:r>
      <w:r>
        <w:rPr>
          <w:rFonts w:ascii="Times New Roman" w:hAnsi="Times New Roman"/>
          <w:i/>
          <w:color w:val="000000"/>
          <w:sz w:val="24"/>
        </w:rPr>
        <w:t>Qwen3 technical report</w:t>
      </w:r>
      <w:r>
        <w:rPr>
          <w:rFonts w:ascii="Times New Roman" w:hAnsi="Times New Roman"/>
          <w:i w:val="0"/>
          <w:color w:val="000000"/>
          <w:sz w:val="24"/>
        </w:rPr>
        <w:t xml:space="preserve"> [Technical report]. arXiv. https://doi.org/10.48550/arXiv.2505.09388</w:t>
      </w:r>
    </w:p>
    <w:p>
      <w:pPr>
        <w:keepNext w:val="0"/>
        <w:keepLines w:val="0"/>
        <w:spacing w:before="0" w:after="200" w:line="360" w:lineRule="auto"/>
        <w:ind w:left="360" w:hanging="360"/>
        <w:jc w:val="left"/>
      </w:pPr>
      <w:r>
        <w:rPr>
          <w:rFonts w:ascii="Times New Roman" w:hAnsi="Times New Roman"/>
          <w:b w:val="0"/>
          <w:color w:val="000000"/>
          <w:sz w:val="24"/>
        </w:rPr>
      </w:r>
      <w:r>
        <w:rPr>
          <w:rFonts w:ascii="Times New Roman" w:hAnsi="Times New Roman"/>
          <w:i w:val="0"/>
          <w:color w:val="000000"/>
          <w:sz w:val="24"/>
        </w:rPr>
        <w:t xml:space="preserve">Yao, S., Zhao, J., Yu, D., Du, N., Shafran, I., Narasimhan, K., &amp; Cao, Y. (2023). ReAct: Synergizing reasoning and acting in language models. </w:t>
      </w:r>
      <w:r>
        <w:rPr>
          <w:rFonts w:ascii="Times New Roman" w:hAnsi="Times New Roman"/>
          <w:i/>
          <w:color w:val="000000"/>
          <w:sz w:val="24"/>
        </w:rPr>
        <w:t>International Conference on Learning Representations</w:t>
      </w:r>
      <w:r>
        <w:rPr>
          <w:rFonts w:ascii="Times New Roman" w:hAnsi="Times New Roman"/>
          <w:i w:val="0"/>
          <w:color w:val="000000"/>
          <w:sz w:val="24"/>
        </w:rPr>
        <w:t>. https://openreview.net/forum?id=WE_vluYUL-X</w:t>
      </w:r>
    </w:p>
    <w:p>
      <w:pPr>
        <w:keepNext w:val="0"/>
        <w:keepLines w:val="0"/>
        <w:spacing w:before="0" w:after="200" w:line="360" w:lineRule="auto"/>
        <w:ind w:left="360" w:hanging="360"/>
        <w:jc w:val="left"/>
      </w:pPr>
      <w:r>
        <w:rPr>
          <w:rFonts w:ascii="Times New Roman" w:hAnsi="Times New Roman"/>
          <w:b w:val="0"/>
          <w:color w:val="000000"/>
          <w:sz w:val="24"/>
        </w:rPr>
      </w:r>
      <w:r>
        <w:rPr>
          <w:rFonts w:ascii="Times New Roman" w:hAnsi="Times New Roman"/>
          <w:i w:val="0"/>
          <w:color w:val="000000"/>
          <w:sz w:val="24"/>
        </w:rPr>
        <w:t xml:space="preserve">Zhong, W., Guo, L., Gao, Q., Ye, H., &amp; Wang, Y. (2024). MemoryBank: Enhancing large language models with long-term memory. </w:t>
      </w:r>
      <w:r>
        <w:rPr>
          <w:rFonts w:ascii="Times New Roman" w:hAnsi="Times New Roman"/>
          <w:i/>
          <w:color w:val="000000"/>
          <w:sz w:val="24"/>
        </w:rPr>
        <w:t>Proceedings of the AAAI Conference on Artificial Intelligence, 38</w:t>
      </w:r>
      <w:r>
        <w:rPr>
          <w:rFonts w:ascii="Times New Roman" w:hAnsi="Times New Roman"/>
          <w:i w:val="0"/>
          <w:color w:val="000000"/>
          <w:sz w:val="24"/>
        </w:rPr>
        <w:t>(17), 19724–19731. https://doi.org/10.1609/aaai.v38i17.29946</w:t>
      </w:r>
    </w:p>
    <w:p>
      <w:pPr>
        <w:keepNext/>
        <w:keepLines w:val="0"/>
        <w:pageBreakBefore/>
        <w:spacing w:before="0" w:after="160" w:line="276" w:lineRule="auto"/>
        <w:jc w:val="center"/>
      </w:pPr>
      <w:r>
        <w:rPr>
          <w:rFonts w:ascii="Times New Roman" w:hAnsi="Times New Roman"/>
          <w:b/>
          <w:color w:val="000000"/>
          <w:sz w:val="32"/>
        </w:rPr>
        <w:t>Appendices</w:t>
      </w:r>
    </w:p>
    <w:p>
      <w:pPr>
        <w:keepNext/>
        <w:keepLines w:val="0"/>
        <w:spacing w:before="0" w:after="240" w:line="360" w:lineRule="auto"/>
        <w:jc w:val="center"/>
      </w:pPr>
      <w:r>
        <w:rPr>
          <w:rFonts w:ascii="Times New Roman" w:hAnsi="Times New Roman"/>
          <w:b/>
          <w:color w:val="000000"/>
          <w:sz w:val="32"/>
        </w:rPr>
        <w:t>Technical and Submission Records</w:t>
      </w:r>
    </w:p>
    <w:p>
      <w:pPr>
        <w:keepNext/>
        <w:keepLines w:val="0"/>
        <w:spacing w:before="0" w:after="200" w:line="276" w:lineRule="auto"/>
        <w:jc w:val="left"/>
      </w:pPr>
      <w:r>
        <w:rPr>
          <w:rFonts w:ascii="Times New Roman" w:hAnsi="Times New Roman"/>
          <w:b/>
          <w:color w:val="000000"/>
          <w:sz w:val="24"/>
        </w:rPr>
        <w:t>Appendix A Reproducibility record</w:t>
      </w:r>
    </w:p>
    <w:p>
      <w:pPr>
        <w:keepNext w:val="0"/>
        <w:keepLines w:val="0"/>
        <w:spacing w:before="240" w:after="0" w:line="480" w:lineRule="auto"/>
        <w:jc w:val="both"/>
      </w:pPr>
      <w:r>
        <w:rPr>
          <w:rFonts w:ascii="Times New Roman" w:hAnsi="Times New Roman"/>
          <w:b w:val="0"/>
          <w:color w:val="000000"/>
          <w:sz w:val="24"/>
        </w:rPr>
        <w:t>The archive preserves the frozen corpus, baseline and diagnostic. The separate production replay is recorded under research/evaluation/results/2026-10-17-production-context-fix-v1/. Verification files in output/verification identify actual production fitting and real MCP calls on the same 32 questions per method.</w:t>
      </w:r>
    </w:p>
    <w:p>
      <w:pPr>
        <w:keepNext w:val="0"/>
        <w:keepLines w:val="0"/>
        <w:spacing w:before="240" w:after="0" w:line="480" w:lineRule="auto"/>
        <w:jc w:val="both"/>
      </w:pPr>
      <w:r>
        <w:rPr>
          <w:rFonts w:ascii="Times New Roman" w:hAnsi="Times New Roman"/>
          <w:b w:val="0"/>
          <w:color w:val="000000"/>
          <w:sz w:val="24"/>
        </w:rPr>
        <w:t>Historical Linux commit ddbbbb7 and Windows commit 0e0bbf6 precede the local uncommitted repair. Both repaired copies of copilot/ollama.py have SHA-256: 1db1e79b7eac3dba77b2afaa2e852db847b7ae2169d7f92327b750dbaa4cdc25. Full commit identifiers and regression records accompany the archive.</w:t>
      </w:r>
    </w:p>
    <w:p>
      <w:pPr>
        <w:keepNext/>
        <w:keepLines w:val="0"/>
        <w:spacing w:before="160" w:after="120" w:line="276" w:lineRule="auto"/>
        <w:jc w:val="center"/>
      </w:pPr>
      <w:r>
        <w:rPr>
          <w:rFonts w:ascii="Times New Roman" w:hAnsi="Times New Roman"/>
          <w:b w:val="0"/>
          <w:color w:val="000000"/>
          <w:sz w:val="22"/>
        </w:rPr>
        <w:t>Table A.1 Reproduction settings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2664"/>
        <w:gridCol w:w="5904"/>
      </w:tblGrid>
      <w:tr>
        <w:trPr>
          <w:cantSplit/>
          <w:tblHeader/>
        </w:trPr>
        <w:tc>
          <w:tcPr>
            <w:tcW w:type="dxa" w:w="2664"/>
            <w:vAlign w:val="center"/>
            <w:shd w:fill="EFEFEF"/>
          </w:tcPr>
          <w:p>
            <w:pPr>
              <w:spacing w:before="0" w:after="0" w:line="276" w:lineRule="auto"/>
              <w:jc w:val="left"/>
            </w:pPr>
            <w:r>
              <w:rPr>
                <w:rFonts w:ascii="Times New Roman" w:hAnsi="Times New Roman"/>
                <w:b/>
                <w:color w:val="000000"/>
                <w:sz w:val="22"/>
              </w:rPr>
              <w:t>Item</w:t>
            </w:r>
          </w:p>
        </w:tc>
        <w:tc>
          <w:tcPr>
            <w:tcW w:type="dxa" w:w="5904"/>
            <w:vAlign w:val="center"/>
            <w:shd w:fill="EFEFEF"/>
          </w:tcPr>
          <w:p>
            <w:pPr>
              <w:spacing w:before="0" w:after="0" w:line="276" w:lineRule="auto"/>
              <w:jc w:val="left"/>
            </w:pPr>
            <w:r>
              <w:rPr>
                <w:rFonts w:ascii="Times New Roman" w:hAnsi="Times New Roman"/>
                <w:b/>
                <w:color w:val="000000"/>
                <w:sz w:val="22"/>
              </w:rPr>
              <w:t>Recorded setting</w:t>
            </w:r>
          </w:p>
        </w:tc>
      </w:tr>
      <w:tr>
        <w:trPr>
          <w:cantSplit/>
        </w:trPr>
        <w:tc>
          <w:tcPr>
            <w:tcW w:type="dxa" w:w="2664"/>
            <w:vAlign w:val="center"/>
          </w:tcPr>
          <w:p>
            <w:pPr>
              <w:spacing w:before="0" w:after="0" w:line="276" w:lineRule="auto"/>
              <w:jc w:val="left"/>
            </w:pPr>
            <w:r>
              <w:rPr>
                <w:rFonts w:ascii="Times New Roman" w:hAnsi="Times New Roman"/>
                <w:b w:val="0"/>
                <w:color w:val="000000"/>
                <w:sz w:val="22"/>
              </w:rPr>
              <w:t>Chat model</w:t>
            </w:r>
          </w:p>
        </w:tc>
        <w:tc>
          <w:tcPr>
            <w:tcW w:type="dxa" w:w="5904"/>
            <w:vAlign w:val="center"/>
          </w:tcPr>
          <w:p>
            <w:pPr>
              <w:spacing w:before="0" w:after="0" w:line="276" w:lineRule="auto"/>
              <w:jc w:val="left"/>
            </w:pPr>
            <w:r>
              <w:rPr>
                <w:rFonts w:ascii="Times New Roman" w:hAnsi="Times New Roman"/>
                <w:b w:val="0"/>
                <w:color w:val="000000"/>
                <w:sz w:val="22"/>
              </w:rPr>
              <w:t>qwen3:4b-instruct-2507-q4_K_M</w:t>
            </w:r>
          </w:p>
        </w:tc>
      </w:tr>
      <w:tr>
        <w:trPr>
          <w:cantSplit/>
        </w:trPr>
        <w:tc>
          <w:tcPr>
            <w:tcW w:type="dxa" w:w="2664"/>
            <w:vAlign w:val="center"/>
          </w:tcPr>
          <w:p>
            <w:pPr>
              <w:spacing w:before="0" w:after="0" w:line="276" w:lineRule="auto"/>
              <w:jc w:val="left"/>
            </w:pPr>
            <w:r>
              <w:rPr>
                <w:rFonts w:ascii="Times New Roman" w:hAnsi="Times New Roman"/>
                <w:b w:val="0"/>
                <w:color w:val="000000"/>
                <w:sz w:val="22"/>
              </w:rPr>
              <w:t>Embedding model</w:t>
            </w:r>
          </w:p>
        </w:tc>
        <w:tc>
          <w:tcPr>
            <w:tcW w:type="dxa" w:w="5904"/>
            <w:vAlign w:val="center"/>
          </w:tcPr>
          <w:p>
            <w:pPr>
              <w:spacing w:before="0" w:after="0" w:line="276" w:lineRule="auto"/>
              <w:jc w:val="left"/>
            </w:pPr>
            <w:r>
              <w:rPr>
                <w:rFonts w:ascii="Times New Roman" w:hAnsi="Times New Roman"/>
                <w:b w:val="0"/>
                <w:color w:val="000000"/>
                <w:sz w:val="22"/>
              </w:rPr>
              <w:t>embeddinggemma:latest; 768 dimensions</w:t>
            </w:r>
          </w:p>
        </w:tc>
      </w:tr>
      <w:tr>
        <w:trPr>
          <w:cantSplit/>
        </w:trPr>
        <w:tc>
          <w:tcPr>
            <w:tcW w:type="dxa" w:w="2664"/>
            <w:vAlign w:val="center"/>
          </w:tcPr>
          <w:p>
            <w:pPr>
              <w:spacing w:before="0" w:after="0" w:line="276" w:lineRule="auto"/>
              <w:jc w:val="left"/>
            </w:pPr>
            <w:r>
              <w:rPr>
                <w:rFonts w:ascii="Times New Roman" w:hAnsi="Times New Roman"/>
                <w:b w:val="0"/>
                <w:color w:val="000000"/>
                <w:sz w:val="22"/>
              </w:rPr>
              <w:t>Chat context / generation</w:t>
            </w:r>
          </w:p>
        </w:tc>
        <w:tc>
          <w:tcPr>
            <w:tcW w:type="dxa" w:w="5904"/>
            <w:vAlign w:val="center"/>
          </w:tcPr>
          <w:p>
            <w:pPr>
              <w:spacing w:before="0" w:after="0" w:line="276" w:lineRule="auto"/>
              <w:jc w:val="left"/>
            </w:pPr>
            <w:r>
              <w:rPr>
                <w:rFonts w:ascii="Times New Roman" w:hAnsi="Times New Roman"/>
                <w:b w:val="0"/>
                <w:color w:val="000000"/>
                <w:sz w:val="22"/>
              </w:rPr>
              <w:t>8,192 / 1,536 tokens; temperature 0.25</w:t>
            </w:r>
          </w:p>
        </w:tc>
      </w:tr>
      <w:tr>
        <w:trPr>
          <w:cantSplit/>
        </w:trPr>
        <w:tc>
          <w:tcPr>
            <w:tcW w:type="dxa" w:w="2664"/>
            <w:vAlign w:val="center"/>
          </w:tcPr>
          <w:p>
            <w:pPr>
              <w:spacing w:before="0" w:after="0" w:line="276" w:lineRule="auto"/>
              <w:jc w:val="left"/>
            </w:pPr>
            <w:r>
              <w:rPr>
                <w:rFonts w:ascii="Times New Roman" w:hAnsi="Times New Roman"/>
                <w:b w:val="0"/>
                <w:color w:val="000000"/>
                <w:sz w:val="22"/>
              </w:rPr>
              <w:t>Runtime</w:t>
            </w:r>
          </w:p>
        </w:tc>
        <w:tc>
          <w:tcPr>
            <w:tcW w:type="dxa" w:w="5904"/>
            <w:vAlign w:val="center"/>
          </w:tcPr>
          <w:p>
            <w:pPr>
              <w:spacing w:before="0" w:after="0" w:line="276" w:lineRule="auto"/>
              <w:jc w:val="left"/>
            </w:pPr>
            <w:r>
              <w:rPr>
                <w:rFonts w:ascii="Times New Roman" w:hAnsi="Times New Roman"/>
                <w:b w:val="0"/>
                <w:color w:val="000000"/>
                <w:sz w:val="22"/>
              </w:rPr>
              <w:t>Python 3.14.4; Ollama 0.35.0</w:t>
            </w:r>
          </w:p>
        </w:tc>
      </w:tr>
      <w:tr>
        <w:trPr>
          <w:cantSplit/>
        </w:trPr>
        <w:tc>
          <w:tcPr>
            <w:tcW w:type="dxa" w:w="2664"/>
            <w:vAlign w:val="center"/>
          </w:tcPr>
          <w:p>
            <w:pPr>
              <w:spacing w:before="0" w:after="0" w:line="276" w:lineRule="auto"/>
              <w:jc w:val="left"/>
            </w:pPr>
            <w:r>
              <w:rPr>
                <w:rFonts w:ascii="Times New Roman" w:hAnsi="Times New Roman"/>
                <w:b w:val="0"/>
                <w:color w:val="000000"/>
                <w:sz w:val="22"/>
              </w:rPr>
              <w:t>Hardware</w:t>
            </w:r>
          </w:p>
        </w:tc>
        <w:tc>
          <w:tcPr>
            <w:tcW w:type="dxa" w:w="5904"/>
            <w:vAlign w:val="center"/>
          </w:tcPr>
          <w:p>
            <w:pPr>
              <w:spacing w:before="0" w:after="0" w:line="276" w:lineRule="auto"/>
              <w:jc w:val="left"/>
            </w:pPr>
            <w:r>
              <w:rPr>
                <w:rFonts w:ascii="Times New Roman" w:hAnsi="Times New Roman"/>
                <w:b w:val="0"/>
                <w:color w:val="000000"/>
                <w:sz w:val="22"/>
              </w:rPr>
              <w:t>Ryzen 7 250; RTX 5050 Laptop; nominal 16 GB RAM</w:t>
            </w:r>
          </w:p>
        </w:tc>
      </w:tr>
    </w:tbl>
    <w:p>
      <w:pPr>
        <w:keepNext w:val="0"/>
        <w:keepLines w:val="0"/>
        <w:spacing w:before="240" w:after="0" w:line="480" w:lineRule="auto"/>
        <w:jc w:val="both"/>
      </w:pPr>
      <w:r>
        <w:rPr>
          <w:rFonts w:ascii="Times New Roman" w:hAnsi="Times New Roman"/>
          <w:b w:val="0"/>
          <w:color w:val="000000"/>
          <w:sz w:val="24"/>
        </w:rPr>
        <w:t>Preserve model digests, labels and source hashes; use a new run directory for changes. Restart to load the repair; no model change or reindexing is required. Historical Windows CI run 37470160711 applies to its original commit.</w:t>
      </w:r>
    </w:p>
    <w:p>
      <w:pPr>
        <w:keepNext/>
        <w:keepLines w:val="0"/>
        <w:pageBreakBefore/>
        <w:spacing w:before="0" w:after="200" w:line="276" w:lineRule="auto"/>
        <w:jc w:val="left"/>
      </w:pPr>
      <w:r>
        <w:rPr>
          <w:rFonts w:ascii="Times New Roman" w:hAnsi="Times New Roman"/>
          <w:b/>
          <w:color w:val="000000"/>
          <w:sz w:val="24"/>
        </w:rPr>
        <w:t>Appendix B Demonstration acceptance cases</w:t>
      </w:r>
    </w:p>
    <w:p>
      <w:pPr>
        <w:keepNext w:val="0"/>
        <w:keepLines w:val="0"/>
        <w:spacing w:before="240" w:after="0" w:line="480" w:lineRule="auto"/>
        <w:jc w:val="both"/>
      </w:pPr>
      <w:r>
        <w:rPr>
          <w:rFonts w:ascii="Times New Roman" w:hAnsi="Times New Roman"/>
          <w:b w:val="0"/>
          <w:color w:val="000000"/>
          <w:sz w:val="24"/>
        </w:rPr>
        <w:t>Use the supplied examples/knowledge folder for a compact demonstration. Connect it under Library, confirm two documents are indexed and open lighthouse-project.md. The reader should display the complete extracted text; this is the ground truth against which a generated answer is checked. The original files remain in the demonstration folder.</w:t>
      </w:r>
    </w:p>
    <w:p>
      <w:pPr>
        <w:keepNext w:val="0"/>
        <w:keepLines w:val="0"/>
        <w:spacing w:before="240" w:after="0" w:line="480" w:lineRule="auto"/>
        <w:jc w:val="both"/>
      </w:pPr>
      <w:r>
        <w:rPr>
          <w:rFonts w:ascii="Times New Roman" w:hAnsi="Times New Roman"/>
          <w:b w:val="0"/>
          <w:color w:val="000000"/>
          <w:sz w:val="24"/>
        </w:rPr>
        <w:t>A suitable factual question is: What storage does the Lighthouse project use? The source states SQLite for extracted text, chunks, conversations and memories. A second question asks whether image-only PDFs work: the supplied note says scanned PDFs need OCR, which the application does not provide. Do not substitute a speculative answer if the model abstains.</w:t>
      </w:r>
    </w:p>
    <w:p>
      <w:pPr>
        <w:keepNext/>
        <w:keepLines w:val="0"/>
        <w:spacing w:before="160" w:after="120" w:line="276" w:lineRule="auto"/>
        <w:jc w:val="center"/>
      </w:pPr>
      <w:r>
        <w:rPr>
          <w:rFonts w:ascii="Times New Roman" w:hAnsi="Times New Roman"/>
          <w:b w:val="0"/>
          <w:color w:val="000000"/>
          <w:sz w:val="22"/>
        </w:rPr>
        <w:t>Table B.1 Demonstration checks and recovery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2664"/>
        <w:gridCol w:w="5904"/>
      </w:tblGrid>
      <w:tr>
        <w:trPr>
          <w:cantSplit/>
          <w:tblHeader/>
        </w:trPr>
        <w:tc>
          <w:tcPr>
            <w:tcW w:type="dxa" w:w="2664"/>
            <w:vAlign w:val="center"/>
            <w:shd w:fill="EFEFEF"/>
          </w:tcPr>
          <w:p>
            <w:pPr>
              <w:spacing w:before="0" w:after="0" w:line="276" w:lineRule="auto"/>
              <w:jc w:val="left"/>
            </w:pPr>
            <w:r>
              <w:rPr>
                <w:rFonts w:ascii="Times New Roman" w:hAnsi="Times New Roman"/>
                <w:b/>
                <w:color w:val="000000"/>
                <w:sz w:val="22"/>
              </w:rPr>
              <w:t>Check</w:t>
            </w:r>
          </w:p>
        </w:tc>
        <w:tc>
          <w:tcPr>
            <w:tcW w:type="dxa" w:w="5904"/>
            <w:vAlign w:val="center"/>
            <w:shd w:fill="EFEFEF"/>
          </w:tcPr>
          <w:p>
            <w:pPr>
              <w:spacing w:before="0" w:after="0" w:line="276" w:lineRule="auto"/>
              <w:jc w:val="left"/>
            </w:pPr>
            <w:r>
              <w:rPr>
                <w:rFonts w:ascii="Times New Roman" w:hAnsi="Times New Roman"/>
                <w:b/>
                <w:color w:val="000000"/>
                <w:sz w:val="22"/>
              </w:rPr>
              <w:t>Expected observation / recovery</w:t>
            </w:r>
          </w:p>
        </w:tc>
      </w:tr>
      <w:tr>
        <w:trPr>
          <w:cantSplit/>
        </w:trPr>
        <w:tc>
          <w:tcPr>
            <w:tcW w:type="dxa" w:w="2664"/>
            <w:vAlign w:val="center"/>
          </w:tcPr>
          <w:p>
            <w:pPr>
              <w:spacing w:before="0" w:after="0" w:line="276" w:lineRule="auto"/>
              <w:jc w:val="left"/>
            </w:pPr>
            <w:r>
              <w:rPr>
                <w:rFonts w:ascii="Times New Roman" w:hAnsi="Times New Roman"/>
                <w:b w:val="0"/>
                <w:color w:val="000000"/>
                <w:sz w:val="22"/>
              </w:rPr>
              <w:t>Library reader</w:t>
            </w:r>
          </w:p>
        </w:tc>
        <w:tc>
          <w:tcPr>
            <w:tcW w:type="dxa" w:w="5904"/>
            <w:vAlign w:val="center"/>
          </w:tcPr>
          <w:p>
            <w:pPr>
              <w:spacing w:before="0" w:after="0" w:line="276" w:lineRule="auto"/>
              <w:jc w:val="left"/>
            </w:pPr>
            <w:r>
              <w:rPr>
                <w:rFonts w:ascii="Times New Roman" w:hAnsi="Times New Roman"/>
                <w:b w:val="0"/>
                <w:color w:val="000000"/>
                <w:sz w:val="22"/>
              </w:rPr>
              <w:t>Source text opens; show it if inference stalls</w:t>
            </w:r>
          </w:p>
        </w:tc>
      </w:tr>
      <w:tr>
        <w:trPr>
          <w:cantSplit/>
        </w:trPr>
        <w:tc>
          <w:tcPr>
            <w:tcW w:type="dxa" w:w="2664"/>
            <w:vAlign w:val="center"/>
          </w:tcPr>
          <w:p>
            <w:pPr>
              <w:spacing w:before="0" w:after="0" w:line="276" w:lineRule="auto"/>
              <w:jc w:val="left"/>
            </w:pPr>
            <w:r>
              <w:rPr>
                <w:rFonts w:ascii="Times New Roman" w:hAnsi="Times New Roman"/>
                <w:b w:val="0"/>
                <w:color w:val="000000"/>
                <w:sz w:val="22"/>
              </w:rPr>
              <w:t>Project creation</w:t>
            </w:r>
          </w:p>
        </w:tc>
        <w:tc>
          <w:tcPr>
            <w:tcW w:type="dxa" w:w="5904"/>
            <w:vAlign w:val="center"/>
          </w:tcPr>
          <w:p>
            <w:pPr>
              <w:spacing w:before="0" w:after="0" w:line="276" w:lineRule="auto"/>
              <w:jc w:val="left"/>
            </w:pPr>
            <w:r>
              <w:rPr>
                <w:rFonts w:ascii="Times New Roman" w:hAnsi="Times New Roman"/>
                <w:b w:val="0"/>
                <w:color w:val="000000"/>
                <w:sz w:val="22"/>
              </w:rPr>
              <w:t>Named workspace appears in Projects</w:t>
            </w:r>
          </w:p>
        </w:tc>
      </w:tr>
      <w:tr>
        <w:trPr>
          <w:cantSplit/>
        </w:trPr>
        <w:tc>
          <w:tcPr>
            <w:tcW w:type="dxa" w:w="2664"/>
            <w:vAlign w:val="center"/>
          </w:tcPr>
          <w:p>
            <w:pPr>
              <w:spacing w:before="0" w:after="0" w:line="276" w:lineRule="auto"/>
              <w:jc w:val="left"/>
            </w:pPr>
            <w:r>
              <w:rPr>
                <w:rFonts w:ascii="Times New Roman" w:hAnsi="Times New Roman"/>
                <w:b w:val="0"/>
                <w:color w:val="000000"/>
                <w:sz w:val="22"/>
              </w:rPr>
              <w:t>Explicit memory</w:t>
            </w:r>
          </w:p>
        </w:tc>
        <w:tc>
          <w:tcPr>
            <w:tcW w:type="dxa" w:w="5904"/>
            <w:vAlign w:val="center"/>
          </w:tcPr>
          <w:p>
            <w:pPr>
              <w:spacing w:before="0" w:after="0" w:line="276" w:lineRule="auto"/>
              <w:jc w:val="left"/>
            </w:pPr>
            <w:r>
              <w:rPr>
                <w:rFonts w:ascii="Times New Roman" w:hAnsi="Times New Roman"/>
                <w:b w:val="0"/>
                <w:color w:val="000000"/>
                <w:sz w:val="22"/>
              </w:rPr>
              <w:t>Saved project fact survives navigation / new chat</w:t>
            </w:r>
          </w:p>
        </w:tc>
      </w:tr>
      <w:tr>
        <w:trPr>
          <w:cantSplit/>
        </w:trPr>
        <w:tc>
          <w:tcPr>
            <w:tcW w:type="dxa" w:w="2664"/>
            <w:vAlign w:val="center"/>
          </w:tcPr>
          <w:p>
            <w:pPr>
              <w:spacing w:before="0" w:after="0" w:line="276" w:lineRule="auto"/>
              <w:jc w:val="left"/>
            </w:pPr>
            <w:r>
              <w:rPr>
                <w:rFonts w:ascii="Times New Roman" w:hAnsi="Times New Roman"/>
                <w:b w:val="0"/>
                <w:color w:val="000000"/>
                <w:sz w:val="22"/>
              </w:rPr>
              <w:t>Source-linked answer</w:t>
            </w:r>
          </w:p>
        </w:tc>
        <w:tc>
          <w:tcPr>
            <w:tcW w:type="dxa" w:w="5904"/>
            <w:vAlign w:val="center"/>
          </w:tcPr>
          <w:p>
            <w:pPr>
              <w:spacing w:before="0" w:after="0" w:line="276" w:lineRule="auto"/>
              <w:jc w:val="left"/>
            </w:pPr>
            <w:r>
              <w:rPr>
                <w:rFonts w:ascii="Times New Roman" w:hAnsi="Times New Roman"/>
                <w:b w:val="0"/>
                <w:color w:val="000000"/>
                <w:sz w:val="22"/>
              </w:rPr>
              <w:t>Compare response with source reader</w:t>
            </w:r>
          </w:p>
        </w:tc>
      </w:tr>
      <w:tr>
        <w:trPr>
          <w:cantSplit/>
        </w:trPr>
        <w:tc>
          <w:tcPr>
            <w:tcW w:type="dxa" w:w="2664"/>
            <w:vAlign w:val="center"/>
          </w:tcPr>
          <w:p>
            <w:pPr>
              <w:spacing w:before="0" w:after="0" w:line="276" w:lineRule="auto"/>
              <w:jc w:val="left"/>
            </w:pPr>
            <w:r>
              <w:rPr>
                <w:rFonts w:ascii="Times New Roman" w:hAnsi="Times New Roman"/>
                <w:b w:val="0"/>
                <w:color w:val="000000"/>
                <w:sz w:val="22"/>
              </w:rPr>
              <w:t>Optional summary</w:t>
            </w:r>
          </w:p>
        </w:tc>
        <w:tc>
          <w:tcPr>
            <w:tcW w:type="dxa" w:w="5904"/>
            <w:vAlign w:val="center"/>
          </w:tcPr>
          <w:p>
            <w:pPr>
              <w:spacing w:before="0" w:after="0" w:line="276" w:lineRule="auto"/>
              <w:jc w:val="left"/>
            </w:pPr>
            <w:r>
              <w:rPr>
                <w:rFonts w:ascii="Times New Roman" w:hAnsi="Times New Roman"/>
                <w:b w:val="0"/>
                <w:color w:val="000000"/>
                <w:sz w:val="22"/>
              </w:rPr>
              <w:t>Verify draft; use saved rehearsal if slow</w:t>
            </w:r>
          </w:p>
        </w:tc>
      </w:tr>
    </w:tbl>
    <w:p>
      <w:pPr>
        <w:keepNext w:val="0"/>
        <w:keepLines w:val="0"/>
        <w:spacing w:before="240" w:after="0" w:line="480" w:lineRule="auto"/>
        <w:jc w:val="both"/>
      </w:pPr>
      <w:r>
        <w:rPr>
          <w:rFonts w:ascii="Times New Roman" w:hAnsi="Times New Roman"/>
          <w:b w:val="0"/>
          <w:color w:val="000000"/>
          <w:sz w:val="24"/>
        </w:rPr>
        <w:t>The normal presentation launcher remains unchanged. Restart any application process left running before the context repair so it imports the corrected code. Verify every answer against the reader, and label any saved screenshot or output as rehearsal evidence. A two-minute live segment should show a few inspectable operations rather than attempt to index an entire drive.</w:t>
      </w:r>
    </w:p>
    <w:p>
      <w:pPr>
        <w:keepNext/>
        <w:keepLines w:val="0"/>
        <w:pageBreakBefore/>
        <w:spacing w:before="0" w:after="200" w:line="276" w:lineRule="auto"/>
        <w:jc w:val="left"/>
      </w:pPr>
      <w:r>
        <w:rPr>
          <w:rFonts w:ascii="Times New Roman" w:hAnsi="Times New Roman"/>
          <w:b/>
          <w:color w:val="000000"/>
          <w:sz w:val="24"/>
        </w:rPr>
        <w:t>Appendix C Academic integrity and required reports</w:t>
      </w:r>
    </w:p>
    <w:p>
      <w:pPr>
        <w:keepNext w:val="0"/>
        <w:keepLines w:val="0"/>
        <w:spacing w:before="240" w:after="0" w:line="480" w:lineRule="auto"/>
        <w:jc w:val="both"/>
      </w:pPr>
      <w:r>
        <w:rPr>
          <w:rFonts w:ascii="Times New Roman" w:hAnsi="Times New Roman"/>
          <w:b w:val="0"/>
          <w:color w:val="000000"/>
          <w:sz w:val="24"/>
        </w:rPr>
        <w:t>The supplied format requires an AIC form, a similarity report and an AI plagiarism report. Those institutional records have not been supplied for this submission package. The table below records their status; it is not a replacement certificate or an invented score. Obtain the institution's current forms and reports, review them with the guide and attach them before formal submission.</w:t>
      </w:r>
    </w:p>
    <w:p>
      <w:pPr>
        <w:keepNext w:val="0"/>
        <w:keepLines w:val="0"/>
        <w:spacing w:before="240" w:after="0" w:line="480" w:lineRule="auto"/>
        <w:jc w:val="both"/>
      </w:pPr>
      <w:r>
        <w:rPr>
          <w:rFonts w:ascii="Times New Roman" w:hAnsi="Times New Roman"/>
          <w:b w:val="0"/>
          <w:color w:val="000000"/>
          <w:sz w:val="24"/>
        </w:rPr>
        <w:t>AI assistance was used for software development, synthetic corpus construction, evaluation support and manuscript/report drafting. Authors remain responsible for checking implementation claims, numerical results, references, institutional declarations and presentation statements. AI assistance does not constitute independent peer review. The synthetic dataset is an explicit experimental artifact rather than naturally collected user behaviour.</w:t>
      </w:r>
    </w:p>
    <w:p>
      <w:pPr>
        <w:keepNext/>
        <w:keepLines w:val="0"/>
        <w:spacing w:before="160" w:after="120" w:line="276" w:lineRule="auto"/>
        <w:jc w:val="center"/>
      </w:pPr>
      <w:r>
        <w:rPr>
          <w:rFonts w:ascii="Times New Roman" w:hAnsi="Times New Roman"/>
          <w:b w:val="0"/>
          <w:color w:val="000000"/>
          <w:sz w:val="22"/>
        </w:rPr>
        <w:t>Table C.1 Mandatory attachment register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2664"/>
        <w:gridCol w:w="5904"/>
      </w:tblGrid>
      <w:tr>
        <w:trPr>
          <w:cantSplit/>
          <w:tblHeader/>
        </w:trPr>
        <w:tc>
          <w:tcPr>
            <w:tcW w:type="dxa" w:w="2664"/>
            <w:vAlign w:val="center"/>
            <w:shd w:fill="EFEFEF"/>
          </w:tcPr>
          <w:p>
            <w:pPr>
              <w:spacing w:before="0" w:after="0" w:line="276" w:lineRule="auto"/>
              <w:jc w:val="left"/>
            </w:pPr>
            <w:r>
              <w:rPr>
                <w:rFonts w:ascii="Times New Roman" w:hAnsi="Times New Roman"/>
                <w:b/>
                <w:color w:val="000000"/>
                <w:sz w:val="22"/>
              </w:rPr>
              <w:t>Required attachment</w:t>
            </w:r>
          </w:p>
        </w:tc>
        <w:tc>
          <w:tcPr>
            <w:tcW w:type="dxa" w:w="5904"/>
            <w:vAlign w:val="center"/>
            <w:shd w:fill="EFEFEF"/>
          </w:tcPr>
          <w:p>
            <w:pPr>
              <w:spacing w:before="0" w:after="0" w:line="276" w:lineRule="auto"/>
              <w:jc w:val="left"/>
            </w:pPr>
            <w:r>
              <w:rPr>
                <w:rFonts w:ascii="Times New Roman" w:hAnsi="Times New Roman"/>
                <w:b/>
                <w:color w:val="000000"/>
                <w:sz w:val="22"/>
              </w:rPr>
              <w:t>Current status</w:t>
            </w:r>
          </w:p>
        </w:tc>
      </w:tr>
      <w:tr>
        <w:trPr>
          <w:cantSplit/>
        </w:trPr>
        <w:tc>
          <w:tcPr>
            <w:tcW w:type="dxa" w:w="2664"/>
            <w:vAlign w:val="center"/>
          </w:tcPr>
          <w:p>
            <w:pPr>
              <w:spacing w:before="0" w:after="0" w:line="276" w:lineRule="auto"/>
              <w:jc w:val="left"/>
            </w:pPr>
            <w:r>
              <w:rPr>
                <w:rFonts w:ascii="Times New Roman" w:hAnsi="Times New Roman"/>
                <w:b w:val="0"/>
                <w:color w:val="000000"/>
                <w:sz w:val="22"/>
              </w:rPr>
              <w:t>AIC form</w:t>
            </w:r>
          </w:p>
        </w:tc>
        <w:tc>
          <w:tcPr>
            <w:tcW w:type="dxa" w:w="5904"/>
            <w:vAlign w:val="center"/>
          </w:tcPr>
          <w:p>
            <w:pPr>
              <w:spacing w:before="0" w:after="0" w:line="276" w:lineRule="auto"/>
              <w:jc w:val="left"/>
            </w:pPr>
            <w:r>
              <w:rPr>
                <w:rFonts w:ascii="Times New Roman" w:hAnsi="Times New Roman"/>
                <w:b w:val="0"/>
                <w:color w:val="000000"/>
                <w:sz w:val="22"/>
              </w:rPr>
              <w:t>Institution-issued form not provided</w:t>
            </w:r>
          </w:p>
        </w:tc>
      </w:tr>
      <w:tr>
        <w:trPr>
          <w:cantSplit/>
        </w:trPr>
        <w:tc>
          <w:tcPr>
            <w:tcW w:type="dxa" w:w="2664"/>
            <w:vAlign w:val="center"/>
          </w:tcPr>
          <w:p>
            <w:pPr>
              <w:spacing w:before="0" w:after="0" w:line="276" w:lineRule="auto"/>
              <w:jc w:val="left"/>
            </w:pPr>
            <w:r>
              <w:rPr>
                <w:rFonts w:ascii="Times New Roman" w:hAnsi="Times New Roman"/>
                <w:b w:val="0"/>
                <w:color w:val="000000"/>
                <w:sz w:val="22"/>
              </w:rPr>
              <w:t>Similarity report</w:t>
            </w:r>
          </w:p>
        </w:tc>
        <w:tc>
          <w:tcPr>
            <w:tcW w:type="dxa" w:w="5904"/>
            <w:vAlign w:val="center"/>
          </w:tcPr>
          <w:p>
            <w:pPr>
              <w:spacing w:before="0" w:after="0" w:line="276" w:lineRule="auto"/>
              <w:jc w:val="left"/>
            </w:pPr>
            <w:r>
              <w:rPr>
                <w:rFonts w:ascii="Times New Roman" w:hAnsi="Times New Roman"/>
                <w:b w:val="0"/>
                <w:color w:val="000000"/>
                <w:sz w:val="22"/>
              </w:rPr>
              <w:t>Official report and score not provided</w:t>
            </w:r>
          </w:p>
        </w:tc>
      </w:tr>
      <w:tr>
        <w:trPr>
          <w:cantSplit/>
        </w:trPr>
        <w:tc>
          <w:tcPr>
            <w:tcW w:type="dxa" w:w="2664"/>
            <w:vAlign w:val="center"/>
          </w:tcPr>
          <w:p>
            <w:pPr>
              <w:spacing w:before="0" w:after="0" w:line="276" w:lineRule="auto"/>
              <w:jc w:val="left"/>
            </w:pPr>
            <w:r>
              <w:rPr>
                <w:rFonts w:ascii="Times New Roman" w:hAnsi="Times New Roman"/>
                <w:b w:val="0"/>
                <w:color w:val="000000"/>
                <w:sz w:val="22"/>
              </w:rPr>
              <w:t>AI plagiarism report</w:t>
            </w:r>
          </w:p>
        </w:tc>
        <w:tc>
          <w:tcPr>
            <w:tcW w:type="dxa" w:w="5904"/>
            <w:vAlign w:val="center"/>
          </w:tcPr>
          <w:p>
            <w:pPr>
              <w:spacing w:before="0" w:after="0" w:line="276" w:lineRule="auto"/>
              <w:jc w:val="left"/>
            </w:pPr>
            <w:r>
              <w:rPr>
                <w:rFonts w:ascii="Times New Roman" w:hAnsi="Times New Roman"/>
                <w:b w:val="0"/>
                <w:color w:val="000000"/>
                <w:sz w:val="22"/>
              </w:rPr>
              <w:t>Official report and score not provided</w:t>
            </w:r>
          </w:p>
        </w:tc>
      </w:tr>
      <w:tr>
        <w:trPr>
          <w:cantSplit/>
        </w:trPr>
        <w:tc>
          <w:tcPr>
            <w:tcW w:type="dxa" w:w="2664"/>
            <w:vAlign w:val="center"/>
          </w:tcPr>
          <w:p>
            <w:pPr>
              <w:spacing w:before="0" w:after="0" w:line="276" w:lineRule="auto"/>
              <w:jc w:val="left"/>
            </w:pPr>
            <w:r>
              <w:rPr>
                <w:rFonts w:ascii="Times New Roman" w:hAnsi="Times New Roman"/>
                <w:b w:val="0"/>
                <w:color w:val="000000"/>
                <w:sz w:val="22"/>
              </w:rPr>
              <w:t>Faculty signatures</w:t>
            </w:r>
          </w:p>
        </w:tc>
        <w:tc>
          <w:tcPr>
            <w:tcW w:type="dxa" w:w="5904"/>
            <w:vAlign w:val="center"/>
          </w:tcPr>
          <w:p>
            <w:pPr>
              <w:spacing w:before="0" w:after="0" w:line="276" w:lineRule="auto"/>
              <w:jc w:val="left"/>
            </w:pPr>
            <w:r>
              <w:rPr>
                <w:rFonts w:ascii="Times New Roman" w:hAnsi="Times New Roman"/>
                <w:b w:val="0"/>
                <w:color w:val="000000"/>
                <w:sz w:val="22"/>
              </w:rPr>
              <w:t>Unsigned; to be completed by authorized faculty</w:t>
            </w:r>
          </w:p>
        </w:tc>
      </w:tr>
      <w:tr>
        <w:trPr>
          <w:cantSplit/>
        </w:trPr>
        <w:tc>
          <w:tcPr>
            <w:tcW w:type="dxa" w:w="2664"/>
            <w:vAlign w:val="center"/>
          </w:tcPr>
          <w:p>
            <w:pPr>
              <w:spacing w:before="0" w:after="0" w:line="276" w:lineRule="auto"/>
              <w:jc w:val="left"/>
            </w:pPr>
            <w:r>
              <w:rPr>
                <w:rFonts w:ascii="Times New Roman" w:hAnsi="Times New Roman"/>
                <w:b w:val="0"/>
                <w:color w:val="000000"/>
                <w:sz w:val="22"/>
              </w:rPr>
              <w:t>Student declaration</w:t>
            </w:r>
          </w:p>
        </w:tc>
        <w:tc>
          <w:tcPr>
            <w:tcW w:type="dxa" w:w="5904"/>
            <w:vAlign w:val="center"/>
          </w:tcPr>
          <w:p>
            <w:pPr>
              <w:spacing w:before="0" w:after="0" w:line="276" w:lineRule="auto"/>
              <w:jc w:val="left"/>
            </w:pPr>
            <w:r>
              <w:rPr>
                <w:rFonts w:ascii="Times New Roman" w:hAnsi="Times New Roman"/>
                <w:b w:val="0"/>
                <w:color w:val="000000"/>
                <w:sz w:val="22"/>
              </w:rPr>
              <w:t>For authors' review and signature</w:t>
            </w:r>
          </w:p>
        </w:tc>
      </w:tr>
    </w:tbl>
    <w:p>
      <w:pPr>
        <w:keepNext w:val="0"/>
        <w:keepLines w:val="0"/>
        <w:spacing w:before="240" w:after="0" w:line="480" w:lineRule="auto"/>
        <w:jc w:val="both"/>
      </w:pPr>
      <w:r>
        <w:rPr>
          <w:rFonts w:ascii="Times New Roman" w:hAnsi="Times New Roman"/>
          <w:b w:val="0"/>
          <w:color w:val="000000"/>
          <w:sz w:val="24"/>
        </w:rPr>
        <w:t>No signature, approval date, originality percentage or plagiarism outcome has been generated. If institutional policy requires additional disclosure language, the authors should replace this statement with the approved wording after reviewing the underlying evidence.</w:t>
      </w:r>
    </w:p>
    <w:p>
      <w:pPr>
        <w:keepNext/>
        <w:keepLines w:val="0"/>
        <w:pageBreakBefore/>
        <w:spacing w:before="0" w:after="200" w:line="276" w:lineRule="auto"/>
        <w:jc w:val="left"/>
      </w:pPr>
      <w:r>
        <w:rPr>
          <w:rFonts w:ascii="Times New Roman" w:hAnsi="Times New Roman"/>
          <w:b/>
          <w:color w:val="000000"/>
          <w:sz w:val="24"/>
        </w:rPr>
        <w:t>Appendix D Submission and evidence checklist</w:t>
      </w:r>
    </w:p>
    <w:p>
      <w:pPr>
        <w:keepNext w:val="0"/>
        <w:keepLines w:val="0"/>
        <w:spacing w:before="240" w:after="0" w:line="480" w:lineRule="auto"/>
        <w:jc w:val="both"/>
      </w:pPr>
      <w:r>
        <w:rPr>
          <w:rFonts w:ascii="Times New Roman" w:hAnsi="Times New Roman"/>
          <w:b w:val="0"/>
          <w:color w:val="000000"/>
          <w:sz w:val="24"/>
        </w:rPr>
        <w:t>The companion IEEE-format research paper acknowledges Dr. Sonali Kothari and lists the four student authors. It is a prepared manuscript; no acceptance, publication, DOI or conference presentation is claimed. The template's optional published-paper page should be attached only after an actual publication exists. Industry, competition and achievement certificates are likewise optional evidence, not created records.</w:t>
      </w:r>
    </w:p>
    <w:p>
      <w:pPr>
        <w:keepNext w:val="0"/>
        <w:keepLines w:val="0"/>
        <w:spacing w:before="240" w:after="0" w:line="480" w:lineRule="auto"/>
        <w:jc w:val="both"/>
      </w:pPr>
      <w:r>
        <w:rPr>
          <w:rFonts w:ascii="Times New Roman" w:hAnsi="Times New Roman"/>
          <w:b w:val="0"/>
          <w:color w:val="000000"/>
          <w:sz w:val="24"/>
        </w:rPr>
        <w:t>Before printing, verify all names and PRNs, sign the declaration after reading it, obtain authorized faculty signatures and enter the submission date. The report uses the user-supplied department Minors in AIML and academic year 23–27. Keep the editable file and its verified 60-page PDF together so that any later edit can be repaginated and the contents list updated.</w:t>
      </w:r>
    </w:p>
    <w:p>
      <w:pPr>
        <w:keepNext/>
        <w:keepLines w:val="0"/>
        <w:spacing w:before="160" w:after="120" w:line="276" w:lineRule="auto"/>
        <w:jc w:val="center"/>
      </w:pPr>
      <w:r>
        <w:rPr>
          <w:rFonts w:ascii="Times New Roman" w:hAnsi="Times New Roman"/>
          <w:b w:val="0"/>
          <w:color w:val="000000"/>
          <w:sz w:val="22"/>
        </w:rPr>
        <w:t>Table D.1 Project evidence and preservation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2664"/>
        <w:gridCol w:w="5904"/>
      </w:tblGrid>
      <w:tr>
        <w:trPr>
          <w:cantSplit/>
          <w:tblHeader/>
        </w:trPr>
        <w:tc>
          <w:tcPr>
            <w:tcW w:type="dxa" w:w="2664"/>
            <w:vAlign w:val="center"/>
            <w:shd w:fill="EFEFEF"/>
          </w:tcPr>
          <w:p>
            <w:pPr>
              <w:spacing w:before="0" w:after="0" w:line="276" w:lineRule="auto"/>
              <w:jc w:val="left"/>
            </w:pPr>
            <w:r>
              <w:rPr>
                <w:rFonts w:ascii="Times New Roman" w:hAnsi="Times New Roman"/>
                <w:b/>
                <w:color w:val="000000"/>
                <w:sz w:val="22"/>
              </w:rPr>
              <w:t>Evidence</w:t>
            </w:r>
          </w:p>
        </w:tc>
        <w:tc>
          <w:tcPr>
            <w:tcW w:type="dxa" w:w="5904"/>
            <w:vAlign w:val="center"/>
            <w:shd w:fill="EFEFEF"/>
          </w:tcPr>
          <w:p>
            <w:pPr>
              <w:spacing w:before="0" w:after="0" w:line="276" w:lineRule="auto"/>
              <w:jc w:val="left"/>
            </w:pPr>
            <w:r>
              <w:rPr>
                <w:rFonts w:ascii="Times New Roman" w:hAnsi="Times New Roman"/>
                <w:b/>
                <w:color w:val="000000"/>
                <w:sz w:val="22"/>
              </w:rPr>
              <w:t>Location / handling</w:t>
            </w:r>
          </w:p>
        </w:tc>
      </w:tr>
      <w:tr>
        <w:trPr>
          <w:cantSplit/>
        </w:trPr>
        <w:tc>
          <w:tcPr>
            <w:tcW w:type="dxa" w:w="2664"/>
            <w:vAlign w:val="center"/>
          </w:tcPr>
          <w:p>
            <w:pPr>
              <w:spacing w:before="0" w:after="0" w:line="276" w:lineRule="auto"/>
              <w:jc w:val="left"/>
            </w:pPr>
            <w:r>
              <w:rPr>
                <w:rFonts w:ascii="Times New Roman" w:hAnsi="Times New Roman"/>
                <w:b w:val="0"/>
                <w:color w:val="000000"/>
                <w:sz w:val="22"/>
              </w:rPr>
              <w:t>Implementation</w:t>
            </w:r>
          </w:p>
        </w:tc>
        <w:tc>
          <w:tcPr>
            <w:tcW w:type="dxa" w:w="5904"/>
            <w:vAlign w:val="center"/>
          </w:tcPr>
          <w:p>
            <w:pPr>
              <w:spacing w:before="0" w:after="0" w:line="276" w:lineRule="auto"/>
              <w:jc w:val="left"/>
            </w:pPr>
            <w:r>
              <w:rPr>
                <w:rFonts w:ascii="Times New Roman" w:hAnsi="Times New Roman"/>
                <w:b w:val="0"/>
                <w:color w:val="000000"/>
                <w:sz w:val="22"/>
              </w:rPr>
              <w:t>Historical commits plus current local repair SHA-256</w:t>
            </w:r>
          </w:p>
        </w:tc>
      </w:tr>
      <w:tr>
        <w:trPr>
          <w:cantSplit/>
        </w:trPr>
        <w:tc>
          <w:tcPr>
            <w:tcW w:type="dxa" w:w="2664"/>
            <w:vAlign w:val="center"/>
          </w:tcPr>
          <w:p>
            <w:pPr>
              <w:spacing w:before="0" w:after="0" w:line="276" w:lineRule="auto"/>
              <w:jc w:val="left"/>
            </w:pPr>
            <w:r>
              <w:rPr>
                <w:rFonts w:ascii="Times New Roman" w:hAnsi="Times New Roman"/>
                <w:b w:val="0"/>
                <w:color w:val="000000"/>
                <w:sz w:val="22"/>
              </w:rPr>
              <w:t>Research evidence</w:t>
            </w:r>
          </w:p>
        </w:tc>
        <w:tc>
          <w:tcPr>
            <w:tcW w:type="dxa" w:w="5904"/>
            <w:vAlign w:val="center"/>
          </w:tcPr>
          <w:p>
            <w:pPr>
              <w:spacing w:before="0" w:after="0" w:line="276" w:lineRule="auto"/>
              <w:jc w:val="left"/>
            </w:pPr>
            <w:r>
              <w:rPr>
                <w:rFonts w:ascii="Times New Roman" w:hAnsi="Times New Roman"/>
                <w:b w:val="0"/>
                <w:color w:val="000000"/>
                <w:sz w:val="22"/>
              </w:rPr>
              <w:t>research/evaluation and accompanying archive</w:t>
            </w:r>
          </w:p>
        </w:tc>
      </w:tr>
      <w:tr>
        <w:trPr>
          <w:cantSplit/>
        </w:trPr>
        <w:tc>
          <w:tcPr>
            <w:tcW w:type="dxa" w:w="2664"/>
            <w:vAlign w:val="center"/>
          </w:tcPr>
          <w:p>
            <w:pPr>
              <w:spacing w:before="0" w:after="0" w:line="276" w:lineRule="auto"/>
              <w:jc w:val="left"/>
            </w:pPr>
            <w:r>
              <w:rPr>
                <w:rFonts w:ascii="Times New Roman" w:hAnsi="Times New Roman"/>
                <w:b w:val="0"/>
                <w:color w:val="000000"/>
                <w:sz w:val="22"/>
              </w:rPr>
              <w:t>Paper</w:t>
            </w:r>
          </w:p>
        </w:tc>
        <w:tc>
          <w:tcPr>
            <w:tcW w:type="dxa" w:w="5904"/>
            <w:vAlign w:val="center"/>
          </w:tcPr>
          <w:p>
            <w:pPr>
              <w:spacing w:before="0" w:after="0" w:line="276" w:lineRule="auto"/>
              <w:jc w:val="left"/>
            </w:pPr>
            <w:r>
              <w:rPr>
                <w:rFonts w:ascii="Times New Roman" w:hAnsi="Times New Roman"/>
                <w:b w:val="0"/>
                <w:color w:val="000000"/>
                <w:sz w:val="22"/>
              </w:rPr>
              <w:t>IEEE source and compiled PDF</w:t>
            </w:r>
          </w:p>
        </w:tc>
      </w:tr>
      <w:tr>
        <w:trPr>
          <w:cantSplit/>
        </w:trPr>
        <w:tc>
          <w:tcPr>
            <w:tcW w:type="dxa" w:w="2664"/>
            <w:vAlign w:val="center"/>
          </w:tcPr>
          <w:p>
            <w:pPr>
              <w:spacing w:before="0" w:after="0" w:line="276" w:lineRule="auto"/>
              <w:jc w:val="left"/>
            </w:pPr>
            <w:r>
              <w:rPr>
                <w:rFonts w:ascii="Times New Roman" w:hAnsi="Times New Roman"/>
                <w:b w:val="0"/>
                <w:color w:val="000000"/>
                <w:sz w:val="22"/>
              </w:rPr>
              <w:t>Presentation preparation</w:t>
            </w:r>
          </w:p>
        </w:tc>
        <w:tc>
          <w:tcPr>
            <w:tcW w:type="dxa" w:w="5904"/>
            <w:vAlign w:val="center"/>
          </w:tcPr>
          <w:p>
            <w:pPr>
              <w:spacing w:before="0" w:after="0" w:line="276" w:lineRule="auto"/>
              <w:jc w:val="left"/>
            </w:pPr>
            <w:r>
              <w:rPr>
                <w:rFonts w:ascii="Times New Roman" w:hAnsi="Times New Roman"/>
                <w:b w:val="0"/>
                <w:color w:val="000000"/>
                <w:sz w:val="22"/>
              </w:rPr>
              <w:t>Four-member 10-minute script and demo guide</w:t>
            </w:r>
          </w:p>
        </w:tc>
      </w:tr>
      <w:tr>
        <w:trPr>
          <w:cantSplit/>
        </w:trPr>
        <w:tc>
          <w:tcPr>
            <w:tcW w:type="dxa" w:w="2664"/>
            <w:vAlign w:val="center"/>
          </w:tcPr>
          <w:p>
            <w:pPr>
              <w:spacing w:before="0" w:after="0" w:line="276" w:lineRule="auto"/>
              <w:jc w:val="left"/>
            </w:pPr>
            <w:r>
              <w:rPr>
                <w:rFonts w:ascii="Times New Roman" w:hAnsi="Times New Roman"/>
                <w:b w:val="0"/>
                <w:color w:val="000000"/>
                <w:sz w:val="22"/>
              </w:rPr>
              <w:t>Local data</w:t>
            </w:r>
          </w:p>
        </w:tc>
        <w:tc>
          <w:tcPr>
            <w:tcW w:type="dxa" w:w="5904"/>
            <w:vAlign w:val="center"/>
          </w:tcPr>
          <w:p>
            <w:pPr>
              <w:spacing w:before="0" w:after="0" w:line="276" w:lineRule="auto"/>
              <w:jc w:val="left"/>
            </w:pPr>
            <w:r>
              <w:rPr>
                <w:rFonts w:ascii="Times New Roman" w:hAnsi="Times New Roman"/>
                <w:b w:val="0"/>
                <w:color w:val="000000"/>
                <w:sz w:val="22"/>
              </w:rPr>
              <w:t>Back up SQLite and project PLAN.md with app stopped</w:t>
            </w:r>
          </w:p>
        </w:tc>
      </w:tr>
    </w:tbl>
    <w:p>
      <w:pPr>
        <w:keepNext w:val="0"/>
        <w:keepLines w:val="0"/>
        <w:spacing w:before="240" w:after="0" w:line="480" w:lineRule="auto"/>
        <w:jc w:val="both"/>
      </w:pPr>
      <w:r>
        <w:rPr>
          <w:rFonts w:ascii="Times New Roman" w:hAnsi="Times New Roman"/>
          <w:b w:val="0"/>
          <w:color w:val="000000"/>
          <w:sz w:val="24"/>
        </w:rPr>
        <w:t>This updated report separates the historical baseline, earlier diagnostic and current local production repair. The new replay and exact source hashes accompany the archive; the repair remains uncommitted. Future changes must retain their own version and verification records so that prior findings remain reproducible.</w:t>
      </w:r>
    </w:p>
    <w:sectPr w:rsidR="002B6FB2">
      <w:pgSz w:w="11906" w:h="16838"/>
      <w:pgMar w:top="1440" w:right="1440" w:bottom="1440" w:left="1872" w:header="709" w:footer="624" w:gutter="0"/>
      <w:pgNumType w:start="1" w:fmt="decimal"/>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F6C1C" w:rsidRDefault="00AF6C1C">
      <w:pPr>
        <w:spacing w:before="0" w:line="240" w:lineRule="auto"/>
      </w:pPr>
      <w:r>
        <w:separator/>
      </w:r>
    </w:p>
  </w:endnote>
  <w:endnote w:type="continuationSeparator" w:id="0">
    <w:p w:rsidR="00AF6C1C" w:rsidRDefault="00AF6C1C">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27E43DA8-D1E0-41C9-B4CC-A69964518371}"/>
    <w:embedItalic r:id="rId2" w:fontKey="{5F6F59CC-2908-43BF-B548-FE05308782AB}"/>
    <w:embedBoldItalic r:id="rId3" w:fontKey="{A3A61CF8-CB30-4514-AD6A-181F4518F3A6}"/>
  </w:font>
  <w:font w:name="SimSun">
    <w:altName w:val="宋体"/>
    <w:panose1 w:val="02010600030101010101"/>
    <w:charset w:val="86"/>
    <w:family w:val="auto"/>
    <w:pitch w:val="variable"/>
    <w:sig w:usb0="00000203" w:usb1="288F0000" w:usb2="00000016" w:usb3="00000000" w:csb0="00040001" w:csb1="00000000"/>
  </w:font>
  <w:font w:name="Times New Roman Bold">
    <w:panose1 w:val="02020803070505020304"/>
    <w:charset w:val="00"/>
    <w:family w:val="roman"/>
    <w:notTrueType/>
    <w:pitch w:val="default"/>
  </w:font>
  <w:font w:name="Tahoma">
    <w:panose1 w:val="020B0604030504040204"/>
    <w:charset w:val="00"/>
    <w:family w:val="roman"/>
    <w:notTrueType/>
    <w:pitch w:val="default"/>
    <w:embedRegular r:id="rId4" w:fontKey="{E044F89A-05EF-4F39-9449-FA46FB76C716}"/>
  </w:font>
  <w:font w:name="Calibri">
    <w:panose1 w:val="020F0502020204030204"/>
    <w:charset w:val="00"/>
    <w:family w:val="swiss"/>
    <w:pitch w:val="variable"/>
    <w:sig w:usb0="E4002EFF" w:usb1="C200247B" w:usb2="00000009" w:usb3="00000000" w:csb0="000001FF" w:csb1="00000000"/>
    <w:embedRegular r:id="rId5" w:fontKey="{198D50E3-4EA0-4FF8-A7AD-95CD7408A788}"/>
    <w:embedBold r:id="rId6" w:fontKey="{57DBBDC3-4627-4F89-B06F-3810CEE572ED}"/>
  </w:font>
  <w:font w:name="Consolas">
    <w:panose1 w:val="020B0609020204030204"/>
    <w:charset w:val="00"/>
    <w:family w:val="roman"/>
    <w:notTrueType/>
    <w:pitch w:val="default"/>
    <w:embedRegular r:id="rId7" w:fontKey="{7A77DBEA-A125-4136-88AE-5D65F2F66880}"/>
  </w:font>
  <w:font w:name="Georgia">
    <w:panose1 w:val="02040502050405020303"/>
    <w:charset w:val="00"/>
    <w:family w:val="auto"/>
    <w:pitch w:val="default"/>
    <w:embedRegular r:id="rId8" w:fontKey="{62DB7A21-356E-44B4-83BD-A7ED792E0C13}"/>
    <w:embedItalic r:id="rId9" w:fontKey="{EF1AD10C-9AA4-4FB3-8BD8-0B6326E04398}"/>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6FB2" w:rsidRDefault="00AF6C1C">
    <w:pPr>
      <w:pBdr>
        <w:top w:val="nil"/>
        <w:left w:val="nil"/>
        <w:bottom w:val="nil"/>
        <w:right w:val="nil"/>
        <w:between w:val="nil"/>
      </w:pBdr>
      <w:tabs>
        <w:tab w:val="center" w:pos="4680"/>
        <w:tab w:val="right" w:pos="9360"/>
      </w:tabs>
      <w:spacing w:before="0" w:line="240" w:lineRule="auto"/>
      <w:jc w:val="center"/>
      <w:rPr>
        <w:color w:val="000000"/>
      </w:rPr>
    </w:pPr>
    <w:r>
      <w:rPr>
        <w:color w:val="000000"/>
      </w:rPr>
      <w:fldChar w:fldCharType="begin"/>
    </w:r>
    <w:r>
      <w:rPr>
        <w:color w:val="000000"/>
      </w:rPr>
      <w:instrText>PAGE</w:instrText>
    </w:r>
    <w:r w:rsidR="0087130E">
      <w:rPr>
        <w:color w:val="000000"/>
      </w:rPr>
      <w:fldChar w:fldCharType="separate"/>
    </w:r>
    <w:r w:rsidR="0087130E">
      <w:rPr>
        <w:noProof/>
        <w:color w:val="000000"/>
      </w:rPr>
      <w:t>2</w:t>
    </w:r>
    <w:r>
      <w:rPr>
        <w:color w:val="000000"/>
      </w:rPr>
      <w:fldChar w:fldCharType="end"/>
    </w:r>
  </w:p>
  <w:p w:rsidR="002B6FB2" w:rsidRDefault="002B6FB2">
    <w:pPr>
      <w:pBdr>
        <w:top w:val="nil"/>
        <w:left w:val="nil"/>
        <w:bottom w:val="nil"/>
        <w:right w:val="nil"/>
        <w:between w:val="nil"/>
      </w:pBdr>
      <w:tabs>
        <w:tab w:val="center" w:pos="4680"/>
        <w:tab w:val="right" w:pos="9360"/>
      </w:tabs>
      <w:spacing w:before="0" w:line="240" w:lineRule="auto"/>
      <w:jc w:val="center"/>
      <w:rPr>
        <w:b/>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F6C1C" w:rsidRDefault="00AF6C1C">
      <w:pPr>
        <w:spacing w:before="0" w:line="240" w:lineRule="auto"/>
      </w:pPr>
      <w:r>
        <w:separator/>
      </w:r>
    </w:p>
  </w:footnote>
  <w:footnote w:type="continuationSeparator" w:id="0">
    <w:p w:rsidR="00AF6C1C" w:rsidRDefault="00AF6C1C">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B962525"/>
    <w:multiLevelType w:val="multilevel"/>
    <w:tmpl w:val="45D2FA2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6FB2"/>
    <w:rsid w:val="002B6FB2"/>
    <w:rsid w:val="0087130E"/>
    <w:rsid w:val="00AF6C1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12838"/>
  <w15:docId w15:val="{798DB80C-017C-43EF-A830-23047C56D3A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 w:eastAsia="zh-CN" w:bidi="ar-SA"/>
      </w:rPr>
    </w:rPrDefault>
    <w:pPrDefault>
      <w:pPr>
        <w:spacing w:before="240" w:line="48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pPr>
      <w:keepNext/>
      <w:keepLines/>
      <w:jc w:val="center"/>
      <w:outlineLvl w:val="0"/>
    </w:pPr>
    <w:rPr>
      <w:b/>
      <w:smallCaps/>
      <w:sz w:val="28"/>
      <w:szCs w:val="28"/>
    </w:rPr>
  </w:style>
  <w:style w:type="paragraph" w:styleId="Heading2">
    <w:name w:val="heading 2"/>
    <w:basedOn w:val="Normal"/>
    <w:next w:val="Normal"/>
    <w:link w:val="Heading2Char"/>
    <w:pPr>
      <w:keepNext/>
      <w:keepLines/>
      <w:spacing w:before="0"/>
      <w:jc w:val="center"/>
      <w:outlineLvl w:val="1"/>
    </w:pPr>
    <w:rPr>
      <w:b/>
      <w:smallCaps/>
      <w:sz w:val="28"/>
      <w:szCs w:val="28"/>
    </w:rPr>
  </w:style>
  <w:style w:type="paragraph" w:styleId="Heading3">
    <w:name w:val="heading 3"/>
    <w:basedOn w:val="Normal"/>
    <w:next w:val="Normal"/>
    <w:link w:val="Heading3Char"/>
    <w:pPr>
      <w:keepNext/>
      <w:keepLines/>
      <w:ind w:left="2160" w:hanging="720"/>
      <w:outlineLvl w:val="2"/>
    </w:pPr>
    <w:rPr>
      <w:b/>
    </w:rPr>
  </w:style>
  <w:style w:type="paragraph" w:styleId="Heading4">
    <w:name w:val="heading 4"/>
    <w:basedOn w:val="Normal"/>
    <w:next w:val="Normal"/>
    <w:link w:val="Heading4Char"/>
    <w:pPr>
      <w:keepNext/>
      <w:keepLines/>
      <w:spacing w:before="200"/>
      <w:ind w:left="2880" w:hanging="720"/>
      <w:outlineLvl w:val="3"/>
    </w:pPr>
    <w:rPr>
      <w:rFonts w:ascii="Cambria" w:eastAsia="Cambria" w:hAnsi="Cambria" w:cs="Cambria"/>
      <w:b/>
      <w:i/>
      <w:color w:val="4F81BD"/>
    </w:rPr>
  </w:style>
  <w:style w:type="paragraph" w:styleId="Heading5">
    <w:name w:val="heading 5"/>
    <w:basedOn w:val="Normal"/>
    <w:next w:val="Normal"/>
    <w:link w:val="Heading5Char"/>
    <w:pPr>
      <w:keepNext/>
      <w:keepLines/>
      <w:spacing w:before="200"/>
      <w:ind w:left="3600" w:hanging="720"/>
      <w:outlineLvl w:val="4"/>
    </w:pPr>
    <w:rPr>
      <w:rFonts w:ascii="Cambria" w:eastAsia="Cambria" w:hAnsi="Cambria" w:cs="Cambria"/>
      <w:color w:val="243F61"/>
    </w:rPr>
  </w:style>
  <w:style w:type="paragraph" w:styleId="Heading6">
    <w:name w:val="heading 6"/>
    <w:basedOn w:val="Normal"/>
    <w:next w:val="Normal"/>
    <w:link w:val="Heading6Char"/>
    <w:pPr>
      <w:keepNext/>
      <w:keepLines/>
      <w:spacing w:before="200"/>
      <w:ind w:left="4320" w:hanging="720"/>
      <w:outlineLvl w:val="5"/>
    </w:pPr>
    <w:rPr>
      <w:rFonts w:ascii="Cambria" w:eastAsia="Cambria" w:hAnsi="Cambria" w:cs="Cambria"/>
      <w:i/>
      <w:color w:val="243F61"/>
    </w:rPr>
  </w:style>
  <w:style w:type="paragraph" w:styleId="Heading7">
    <w:name w:val="heading 7"/>
    <w:basedOn w:val="Normal"/>
    <w:next w:val="Normal"/>
    <w:link w:val="Heading7Char"/>
    <w:uiPriority w:val="9"/>
    <w:unhideWhenUsed/>
    <w:qFormat/>
    <w:rsid w:val="00792EDF"/>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792EDF"/>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792EDF"/>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pPr>
      <w:spacing w:after="300" w:line="240" w:lineRule="auto"/>
      <w:jc w:val="center"/>
    </w:pPr>
    <w:rPr>
      <w:b/>
    </w:rPr>
  </w:style>
  <w:style w:type="character" w:customStyle="1" w:styleId="Heading1Char">
    <w:name w:val="Heading 1 Char"/>
    <w:basedOn w:val="DefaultParagraphFont"/>
    <w:link w:val="Heading1"/>
    <w:uiPriority w:val="9"/>
    <w:rsid w:val="00792EDF"/>
    <w:rPr>
      <w:rFonts w:ascii="Times New Roman Bold" w:eastAsiaTheme="majorEastAsia" w:hAnsi="Times New Roman Bold" w:cstheme="majorBidi"/>
      <w:b/>
      <w:bCs/>
      <w:caps/>
      <w:sz w:val="28"/>
      <w:szCs w:val="28"/>
    </w:rPr>
  </w:style>
  <w:style w:type="character" w:customStyle="1" w:styleId="Heading2Char">
    <w:name w:val="Heading 2 Char"/>
    <w:basedOn w:val="DefaultParagraphFont"/>
    <w:link w:val="Heading2"/>
    <w:uiPriority w:val="9"/>
    <w:rsid w:val="00B96300"/>
    <w:rPr>
      <w:rFonts w:eastAsiaTheme="majorEastAsia" w:cs="Times New Roman"/>
      <w:b/>
      <w:bCs/>
      <w:caps/>
      <w:sz w:val="28"/>
      <w:szCs w:val="24"/>
    </w:rPr>
  </w:style>
  <w:style w:type="character" w:customStyle="1" w:styleId="Heading3Char">
    <w:name w:val="Heading 3 Char"/>
    <w:basedOn w:val="DefaultParagraphFont"/>
    <w:link w:val="Heading3"/>
    <w:uiPriority w:val="9"/>
    <w:rsid w:val="00792EDF"/>
    <w:rPr>
      <w:rFonts w:ascii="Times New Roman" w:eastAsiaTheme="majorEastAsia" w:hAnsi="Times New Roman" w:cstheme="majorBidi"/>
      <w:b/>
      <w:bCs/>
      <w:sz w:val="24"/>
    </w:rPr>
  </w:style>
  <w:style w:type="character" w:customStyle="1" w:styleId="Heading4Char">
    <w:name w:val="Heading 4 Char"/>
    <w:basedOn w:val="DefaultParagraphFont"/>
    <w:link w:val="Heading4"/>
    <w:uiPriority w:val="9"/>
    <w:rsid w:val="00792EDF"/>
    <w:rPr>
      <w:rFonts w:asciiTheme="majorHAnsi" w:eastAsiaTheme="majorEastAsia" w:hAnsiTheme="majorHAnsi" w:cstheme="majorBidi"/>
      <w:b/>
      <w:bCs/>
      <w:i/>
      <w:iCs/>
      <w:color w:val="4F81BD" w:themeColor="accent1"/>
      <w:sz w:val="24"/>
    </w:rPr>
  </w:style>
  <w:style w:type="character" w:customStyle="1" w:styleId="Heading5Char">
    <w:name w:val="Heading 5 Char"/>
    <w:basedOn w:val="DefaultParagraphFont"/>
    <w:link w:val="Heading5"/>
    <w:uiPriority w:val="9"/>
    <w:rsid w:val="00792EDF"/>
    <w:rPr>
      <w:rFonts w:asciiTheme="majorHAnsi" w:eastAsiaTheme="majorEastAsia" w:hAnsiTheme="majorHAnsi" w:cstheme="majorBidi"/>
      <w:color w:val="243F60" w:themeColor="accent1" w:themeShade="7F"/>
      <w:sz w:val="24"/>
    </w:rPr>
  </w:style>
  <w:style w:type="character" w:customStyle="1" w:styleId="Heading6Char">
    <w:name w:val="Heading 6 Char"/>
    <w:basedOn w:val="DefaultParagraphFont"/>
    <w:link w:val="Heading6"/>
    <w:uiPriority w:val="9"/>
    <w:rsid w:val="00792EDF"/>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rsid w:val="00792EDF"/>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rsid w:val="00792EDF"/>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792ED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link w:val="CaptionChar"/>
    <w:uiPriority w:val="35"/>
    <w:unhideWhenUsed/>
    <w:qFormat/>
    <w:rsid w:val="00792EDF"/>
    <w:pPr>
      <w:spacing w:before="0" w:after="200"/>
      <w:jc w:val="center"/>
    </w:pPr>
    <w:rPr>
      <w:rFonts w:ascii="Times New Roman Bold" w:hAnsi="Times New Roman Bold"/>
      <w:b/>
      <w:bCs/>
      <w:szCs w:val="18"/>
    </w:rPr>
  </w:style>
  <w:style w:type="character" w:customStyle="1" w:styleId="CaptionChar">
    <w:name w:val="Caption Char"/>
    <w:basedOn w:val="DefaultParagraphFont"/>
    <w:link w:val="Caption"/>
    <w:uiPriority w:val="35"/>
    <w:rsid w:val="00792EDF"/>
    <w:rPr>
      <w:rFonts w:ascii="Times New Roman Bold" w:hAnsi="Times New Roman Bold"/>
      <w:b/>
      <w:bCs/>
      <w:sz w:val="24"/>
      <w:szCs w:val="18"/>
    </w:rPr>
  </w:style>
  <w:style w:type="paragraph" w:styleId="ListParagraph">
    <w:name w:val="List Paragraph"/>
    <w:basedOn w:val="Normal"/>
    <w:uiPriority w:val="34"/>
    <w:qFormat/>
    <w:rsid w:val="00792EDF"/>
    <w:pPr>
      <w:ind w:left="720"/>
      <w:contextualSpacing/>
    </w:pPr>
  </w:style>
  <w:style w:type="character" w:customStyle="1" w:styleId="TitleChar">
    <w:name w:val="Title Char"/>
    <w:basedOn w:val="DefaultParagraphFont"/>
    <w:link w:val="Title"/>
    <w:uiPriority w:val="10"/>
    <w:rsid w:val="0089371B"/>
    <w:rPr>
      <w:rFonts w:ascii="Times New Roman Bold" w:eastAsiaTheme="majorEastAsia" w:hAnsi="Times New Roman Bold" w:cstheme="majorBidi"/>
      <w:b/>
      <w:spacing w:val="5"/>
      <w:kern w:val="28"/>
      <w:szCs w:val="52"/>
    </w:rPr>
  </w:style>
  <w:style w:type="paragraph" w:styleId="NoSpacing">
    <w:name w:val="No Spacing"/>
    <w:aliases w:val="ANR Pub Man,TXT Body"/>
    <w:uiPriority w:val="1"/>
    <w:qFormat/>
    <w:rsid w:val="0089371B"/>
    <w:pPr>
      <w:spacing w:line="240" w:lineRule="auto"/>
      <w:jc w:val="center"/>
    </w:pPr>
  </w:style>
  <w:style w:type="paragraph" w:styleId="DocumentMap">
    <w:name w:val="Document Map"/>
    <w:basedOn w:val="Normal"/>
    <w:link w:val="DocumentMapChar"/>
    <w:uiPriority w:val="99"/>
    <w:semiHidden/>
    <w:unhideWhenUsed/>
    <w:rsid w:val="0089371B"/>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9371B"/>
    <w:rPr>
      <w:rFonts w:ascii="Tahoma" w:hAnsi="Tahoma" w:cs="Tahoma"/>
      <w:sz w:val="16"/>
    </w:rPr>
  </w:style>
  <w:style w:type="paragraph" w:styleId="TOCHeading">
    <w:name w:val="TOC Heading"/>
    <w:basedOn w:val="Heading1"/>
    <w:next w:val="Normal"/>
    <w:uiPriority w:val="39"/>
    <w:unhideWhenUsed/>
    <w:qFormat/>
    <w:rsid w:val="006715A7"/>
    <w:pPr>
      <w:spacing w:line="259" w:lineRule="auto"/>
      <w:jc w:val="left"/>
      <w:outlineLvl w:val="9"/>
    </w:pPr>
    <w:rPr>
      <w:rFonts w:asciiTheme="majorHAnsi" w:hAnsiTheme="majorHAnsi"/>
      <w:b w:val="0"/>
      <w:color w:val="365F91" w:themeColor="accent1" w:themeShade="BF"/>
      <w:sz w:val="32"/>
      <w:szCs w:val="32"/>
    </w:rPr>
  </w:style>
  <w:style w:type="paragraph" w:styleId="TOC2">
    <w:name w:val="toc 2"/>
    <w:basedOn w:val="Normal"/>
    <w:next w:val="Normal"/>
    <w:autoRedefine/>
    <w:uiPriority w:val="39"/>
    <w:unhideWhenUsed/>
    <w:rsid w:val="006715A7"/>
    <w:pPr>
      <w:spacing w:after="100"/>
      <w:ind w:left="240"/>
    </w:pPr>
  </w:style>
  <w:style w:type="character" w:styleId="Hyperlink">
    <w:name w:val="Hyperlink"/>
    <w:basedOn w:val="DefaultParagraphFont"/>
    <w:uiPriority w:val="99"/>
    <w:unhideWhenUsed/>
    <w:rsid w:val="006715A7"/>
    <w:rPr>
      <w:color w:val="0000FF" w:themeColor="hyperlink"/>
      <w:u w:val="single"/>
    </w:rPr>
  </w:style>
  <w:style w:type="paragraph" w:styleId="Header">
    <w:name w:val="header"/>
    <w:basedOn w:val="Normal"/>
    <w:link w:val="HeaderChar"/>
    <w:uiPriority w:val="99"/>
    <w:unhideWhenUsed/>
    <w:rsid w:val="006715A7"/>
    <w:pPr>
      <w:tabs>
        <w:tab w:val="center" w:pos="4680"/>
        <w:tab w:val="right" w:pos="9360"/>
      </w:tabs>
      <w:spacing w:before="0" w:line="240" w:lineRule="auto"/>
    </w:pPr>
  </w:style>
  <w:style w:type="character" w:customStyle="1" w:styleId="HeaderChar">
    <w:name w:val="Header Char"/>
    <w:basedOn w:val="DefaultParagraphFont"/>
    <w:link w:val="Header"/>
    <w:uiPriority w:val="99"/>
    <w:rsid w:val="006715A7"/>
    <w:rPr>
      <w:rFonts w:cs="Times New Roman"/>
      <w:szCs w:val="24"/>
    </w:rPr>
  </w:style>
  <w:style w:type="paragraph" w:styleId="Footer">
    <w:name w:val="footer"/>
    <w:basedOn w:val="Normal"/>
    <w:link w:val="FooterChar"/>
    <w:uiPriority w:val="99"/>
    <w:unhideWhenUsed/>
    <w:rsid w:val="006715A7"/>
    <w:pPr>
      <w:tabs>
        <w:tab w:val="center" w:pos="4680"/>
        <w:tab w:val="right" w:pos="9360"/>
      </w:tabs>
      <w:spacing w:before="0" w:line="240" w:lineRule="auto"/>
    </w:pPr>
  </w:style>
  <w:style w:type="character" w:customStyle="1" w:styleId="FooterChar">
    <w:name w:val="Footer Char"/>
    <w:basedOn w:val="DefaultParagraphFont"/>
    <w:link w:val="Footer"/>
    <w:uiPriority w:val="99"/>
    <w:rsid w:val="006715A7"/>
    <w:rPr>
      <w:rFonts w:cs="Times New Roman"/>
      <w:szCs w:val="24"/>
    </w:rPr>
  </w:style>
  <w:style w:type="paragraph" w:styleId="TOC1">
    <w:name w:val="toc 1"/>
    <w:basedOn w:val="Normal"/>
    <w:next w:val="Normal"/>
    <w:autoRedefine/>
    <w:uiPriority w:val="39"/>
    <w:unhideWhenUsed/>
    <w:rsid w:val="007A3B99"/>
    <w:pPr>
      <w:spacing w:after="100"/>
    </w:pPr>
  </w:style>
  <w:style w:type="paragraph" w:customStyle="1" w:styleId="Text">
    <w:name w:val="Text"/>
    <w:basedOn w:val="Normal"/>
    <w:rsid w:val="007A3B99"/>
    <w:pPr>
      <w:widowControl w:val="0"/>
      <w:autoSpaceDE w:val="0"/>
      <w:autoSpaceDN w:val="0"/>
      <w:spacing w:before="0" w:line="252" w:lineRule="auto"/>
      <w:ind w:firstLine="202"/>
    </w:pPr>
    <w:rPr>
      <w:rFonts w:eastAsia="SimSun"/>
      <w:sz w:val="20"/>
      <w:szCs w:val="20"/>
    </w:rPr>
  </w:style>
  <w:style w:type="paragraph" w:styleId="NormalWeb">
    <w:name w:val="Normal (Web)"/>
    <w:basedOn w:val="Normal"/>
    <w:uiPriority w:val="99"/>
    <w:unhideWhenUsed/>
    <w:rsid w:val="007A3B99"/>
    <w:pPr>
      <w:spacing w:before="100" w:beforeAutospacing="1" w:after="100" w:afterAutospacing="1" w:line="240" w:lineRule="auto"/>
      <w:jc w:val="left"/>
    </w:pPr>
  </w:style>
  <w:style w:type="paragraph" w:customStyle="1" w:styleId="Figure">
    <w:name w:val="Figure"/>
    <w:basedOn w:val="Normal"/>
    <w:next w:val="Normal"/>
    <w:link w:val="FigureChar"/>
    <w:qFormat/>
    <w:rsid w:val="007A3B99"/>
    <w:pPr>
      <w:spacing w:before="100" w:beforeAutospacing="1" w:after="100" w:afterAutospacing="1"/>
      <w:jc w:val="center"/>
    </w:pPr>
    <w:rPr>
      <w:rFonts w:eastAsia="Calibri"/>
      <w:color w:val="000000" w:themeColor="text1"/>
      <w:szCs w:val="22"/>
    </w:rPr>
  </w:style>
  <w:style w:type="character" w:customStyle="1" w:styleId="FigureChar">
    <w:name w:val="Figure Char"/>
    <w:basedOn w:val="DefaultParagraphFont"/>
    <w:link w:val="Figure"/>
    <w:rsid w:val="007A3B99"/>
    <w:rPr>
      <w:rFonts w:eastAsia="Calibri" w:cs="Times New Roman"/>
      <w:color w:val="000000" w:themeColor="text1"/>
      <w:szCs w:val="22"/>
      <w:lang w:val="en-US"/>
    </w:rPr>
  </w:style>
  <w:style w:type="paragraph" w:customStyle="1" w:styleId="Default">
    <w:name w:val="Default"/>
    <w:rsid w:val="007A3B99"/>
    <w:pPr>
      <w:autoSpaceDE w:val="0"/>
      <w:autoSpaceDN w:val="0"/>
      <w:adjustRightInd w:val="0"/>
      <w:spacing w:line="240" w:lineRule="auto"/>
    </w:pPr>
    <w:rPr>
      <w:rFonts w:eastAsia="Calibri"/>
      <w:color w:val="000000"/>
    </w:rPr>
  </w:style>
  <w:style w:type="paragraph" w:customStyle="1" w:styleId="AuthorName">
    <w:name w:val="Author Name"/>
    <w:basedOn w:val="Normal"/>
    <w:next w:val="AuthorAffiliation"/>
    <w:rsid w:val="007A3B99"/>
    <w:pPr>
      <w:spacing w:before="0" w:after="240" w:line="240" w:lineRule="auto"/>
      <w:ind w:firstLine="284"/>
      <w:jc w:val="center"/>
    </w:pPr>
    <w:rPr>
      <w:spacing w:val="-2"/>
      <w:kern w:val="20"/>
      <w:szCs w:val="20"/>
    </w:rPr>
  </w:style>
  <w:style w:type="paragraph" w:customStyle="1" w:styleId="AuthorAffiliation">
    <w:name w:val="Author Affiliation"/>
    <w:basedOn w:val="Normal"/>
    <w:rsid w:val="007A3B99"/>
    <w:pPr>
      <w:tabs>
        <w:tab w:val="right" w:leader="dot" w:pos="9360"/>
      </w:tabs>
      <w:spacing w:before="0" w:line="240" w:lineRule="auto"/>
      <w:ind w:firstLine="284"/>
      <w:jc w:val="center"/>
    </w:pPr>
    <w:rPr>
      <w:spacing w:val="-2"/>
      <w:kern w:val="20"/>
      <w:sz w:val="22"/>
      <w:szCs w:val="20"/>
    </w:rPr>
  </w:style>
  <w:style w:type="character" w:styleId="PageNumber">
    <w:name w:val="page number"/>
    <w:basedOn w:val="DefaultParagraphFont"/>
    <w:rsid w:val="007A3B99"/>
  </w:style>
  <w:style w:type="paragraph" w:styleId="BalloonText">
    <w:name w:val="Balloon Text"/>
    <w:basedOn w:val="Normal"/>
    <w:link w:val="BalloonTextChar"/>
    <w:uiPriority w:val="99"/>
    <w:semiHidden/>
    <w:unhideWhenUsed/>
    <w:rsid w:val="007A3B99"/>
    <w:pPr>
      <w:spacing w:before="0" w:line="240" w:lineRule="auto"/>
      <w:ind w:firstLine="284"/>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3B99"/>
    <w:rPr>
      <w:rFonts w:ascii="Tahoma" w:eastAsia="Times New Roman" w:hAnsi="Tahoma" w:cs="Tahoma"/>
      <w:sz w:val="16"/>
      <w:lang w:val="en-US"/>
    </w:rPr>
  </w:style>
  <w:style w:type="table" w:styleId="TableGrid">
    <w:name w:val="Table Grid"/>
    <w:basedOn w:val="TableNormal"/>
    <w:uiPriority w:val="39"/>
    <w:rsid w:val="007A3B99"/>
    <w:pPr>
      <w:spacing w:line="240" w:lineRule="auto"/>
    </w:pPr>
    <w:rPr>
      <w:rFonts w:ascii="Calibri" w:hAnsi="Calibri"/>
      <w:sz w:val="20"/>
      <w:szCs w:val="20"/>
      <w:lang w:val="ms-MY"/>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Shading1">
    <w:name w:val="Light Shading1"/>
    <w:basedOn w:val="TableNormal"/>
    <w:uiPriority w:val="60"/>
    <w:rsid w:val="007A3B99"/>
    <w:pPr>
      <w:spacing w:line="240" w:lineRule="auto"/>
    </w:pPr>
    <w:rPr>
      <w:rFonts w:ascii="Calibri" w:hAnsi="Calibri"/>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Table1Light1">
    <w:name w:val="List Table 1 Light1"/>
    <w:basedOn w:val="TableNormal"/>
    <w:uiPriority w:val="46"/>
    <w:rsid w:val="007A3B99"/>
    <w:pPr>
      <w:spacing w:line="240" w:lineRule="auto"/>
    </w:pPr>
    <w:rPr>
      <w:rFonts w:ascii="Calibri" w:eastAsia="Calibri" w:hAnsi="Calibri"/>
      <w:sz w:val="20"/>
      <w:szCs w:val="20"/>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PlainTable41">
    <w:name w:val="Plain Table 41"/>
    <w:basedOn w:val="TableNormal"/>
    <w:uiPriority w:val="44"/>
    <w:rsid w:val="007A3B99"/>
    <w:pPr>
      <w:spacing w:line="240" w:lineRule="auto"/>
    </w:pPr>
    <w:rPr>
      <w:rFonts w:ascii="Calibri" w:eastAsia="Calibri" w:hAnsi="Calibri"/>
      <w:sz w:val="20"/>
      <w:szCs w:val="20"/>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Light1">
    <w:name w:val="Table Grid Light1"/>
    <w:basedOn w:val="TableNormal"/>
    <w:uiPriority w:val="40"/>
    <w:rsid w:val="007A3B99"/>
    <w:pPr>
      <w:spacing w:line="240" w:lineRule="auto"/>
    </w:pPr>
    <w:rPr>
      <w:rFonts w:ascii="Calibri" w:hAnsi="Calibri"/>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styleId="CommentReference">
    <w:name w:val="annotation reference"/>
    <w:uiPriority w:val="99"/>
    <w:semiHidden/>
    <w:unhideWhenUsed/>
    <w:rsid w:val="007A3B99"/>
    <w:rPr>
      <w:sz w:val="16"/>
      <w:szCs w:val="16"/>
    </w:rPr>
  </w:style>
  <w:style w:type="paragraph" w:styleId="CommentText">
    <w:name w:val="annotation text"/>
    <w:basedOn w:val="Normal"/>
    <w:link w:val="CommentTextChar"/>
    <w:uiPriority w:val="99"/>
    <w:semiHidden/>
    <w:unhideWhenUsed/>
    <w:rsid w:val="007A3B99"/>
    <w:pPr>
      <w:spacing w:before="0" w:line="240" w:lineRule="auto"/>
      <w:ind w:firstLine="284"/>
    </w:pPr>
    <w:rPr>
      <w:sz w:val="20"/>
      <w:szCs w:val="20"/>
    </w:rPr>
  </w:style>
  <w:style w:type="character" w:customStyle="1" w:styleId="CommentTextChar">
    <w:name w:val="Comment Text Char"/>
    <w:basedOn w:val="DefaultParagraphFont"/>
    <w:link w:val="CommentText"/>
    <w:uiPriority w:val="99"/>
    <w:semiHidden/>
    <w:rsid w:val="007A3B99"/>
    <w:rPr>
      <w:rFonts w:eastAsia="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A3B99"/>
    <w:rPr>
      <w:b/>
      <w:bCs/>
    </w:rPr>
  </w:style>
  <w:style w:type="character" w:customStyle="1" w:styleId="CommentSubjectChar">
    <w:name w:val="Comment Subject Char"/>
    <w:basedOn w:val="CommentTextChar"/>
    <w:link w:val="CommentSubject"/>
    <w:uiPriority w:val="99"/>
    <w:semiHidden/>
    <w:rsid w:val="007A3B99"/>
    <w:rPr>
      <w:rFonts w:eastAsia="Times New Roman" w:cs="Times New Roman"/>
      <w:b/>
      <w:bCs/>
      <w:sz w:val="20"/>
      <w:szCs w:val="20"/>
      <w:lang w:val="en-US"/>
    </w:rPr>
  </w:style>
  <w:style w:type="character" w:customStyle="1" w:styleId="apple-converted-space">
    <w:name w:val="apple-converted-space"/>
    <w:basedOn w:val="DefaultParagraphFont"/>
    <w:rsid w:val="007A3B99"/>
  </w:style>
  <w:style w:type="character" w:styleId="LineNumber">
    <w:name w:val="line number"/>
    <w:basedOn w:val="DefaultParagraphFont"/>
    <w:uiPriority w:val="99"/>
    <w:semiHidden/>
    <w:unhideWhenUsed/>
    <w:rsid w:val="007A3B99"/>
  </w:style>
  <w:style w:type="numbering" w:customStyle="1" w:styleId="NoList1">
    <w:name w:val="No List1"/>
    <w:next w:val="NoList"/>
    <w:uiPriority w:val="99"/>
    <w:semiHidden/>
    <w:unhideWhenUsed/>
    <w:rsid w:val="007A3B99"/>
  </w:style>
  <w:style w:type="table" w:customStyle="1" w:styleId="TableGrid1">
    <w:name w:val="Table Grid1"/>
    <w:basedOn w:val="TableNormal"/>
    <w:next w:val="TableGrid"/>
    <w:uiPriority w:val="39"/>
    <w:rsid w:val="007A3B99"/>
    <w:pPr>
      <w:spacing w:line="240" w:lineRule="auto"/>
    </w:pPr>
    <w:rPr>
      <w:rFonts w:asciiTheme="minorHAnsi" w:hAnsi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A3B99"/>
    <w:rPr>
      <w:color w:val="808080"/>
    </w:rPr>
  </w:style>
  <w:style w:type="numbering" w:customStyle="1" w:styleId="NoList2">
    <w:name w:val="No List2"/>
    <w:next w:val="NoList"/>
    <w:uiPriority w:val="99"/>
    <w:semiHidden/>
    <w:unhideWhenUsed/>
    <w:rsid w:val="007A3B99"/>
  </w:style>
  <w:style w:type="table" w:customStyle="1" w:styleId="TableGrid2">
    <w:name w:val="Table Grid2"/>
    <w:basedOn w:val="TableNormal"/>
    <w:next w:val="TableGrid"/>
    <w:uiPriority w:val="39"/>
    <w:rsid w:val="007A3B99"/>
    <w:pPr>
      <w:spacing w:line="240" w:lineRule="auto"/>
    </w:pPr>
    <w:rPr>
      <w:rFonts w:asciiTheme="minorHAnsi" w:hAnsi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7A3B99"/>
    <w:pPr>
      <w:spacing w:before="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A3B99"/>
    <w:rPr>
      <w:rFonts w:ascii="Consolas" w:eastAsia="Times New Roman" w:hAnsi="Consolas" w:cs="Times New Roman"/>
      <w:sz w:val="20"/>
      <w:szCs w:val="20"/>
    </w:rPr>
  </w:style>
  <w:style w:type="paragraph" w:styleId="TableofFigures">
    <w:name w:val="table of figures"/>
    <w:basedOn w:val="Normal"/>
    <w:next w:val="Normal"/>
    <w:uiPriority w:val="99"/>
    <w:unhideWhenUsed/>
    <w:rsid w:val="007A3B99"/>
    <w:pPr>
      <w:spacing w:before="0" w:line="360" w:lineRule="auto"/>
    </w:pPr>
  </w:style>
  <w:style w:type="paragraph" w:styleId="TOC3">
    <w:name w:val="toc 3"/>
    <w:basedOn w:val="Normal"/>
    <w:next w:val="Normal"/>
    <w:autoRedefine/>
    <w:uiPriority w:val="39"/>
    <w:unhideWhenUsed/>
    <w:rsid w:val="007A3B99"/>
    <w:pPr>
      <w:spacing w:before="100" w:beforeAutospacing="1" w:after="100" w:afterAutospacing="1"/>
      <w:ind w:left="480"/>
    </w:pPr>
    <w:rPr>
      <w:rFonts w:eastAsia="Calibri"/>
      <w:szCs w:val="22"/>
    </w:rPr>
  </w:style>
  <w:style w:type="paragraph" w:styleId="TOC4">
    <w:name w:val="toc 4"/>
    <w:basedOn w:val="Normal"/>
    <w:next w:val="Normal"/>
    <w:autoRedefine/>
    <w:uiPriority w:val="39"/>
    <w:unhideWhenUsed/>
    <w:rsid w:val="007A3B99"/>
    <w:pPr>
      <w:spacing w:before="0" w:after="100" w:line="259" w:lineRule="auto"/>
      <w:ind w:left="660"/>
      <w:jc w:val="left"/>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7A3B99"/>
    <w:pPr>
      <w:spacing w:before="0"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7A3B99"/>
    <w:pPr>
      <w:spacing w:before="0"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7A3B99"/>
    <w:pPr>
      <w:spacing w:before="0"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7A3B99"/>
    <w:pPr>
      <w:spacing w:before="0"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7A3B99"/>
    <w:pPr>
      <w:spacing w:before="0" w:after="100" w:line="259" w:lineRule="auto"/>
      <w:ind w:left="1760"/>
      <w:jc w:val="left"/>
    </w:pPr>
    <w:rPr>
      <w:rFonts w:asciiTheme="minorHAnsi" w:eastAsiaTheme="minorEastAsia" w:hAnsiTheme="minorHAnsi" w:cstheme="minorBidi"/>
      <w:sz w:val="22"/>
      <w:szCs w:val="22"/>
    </w:rPr>
  </w:style>
  <w:style w:type="character" w:styleId="Strong">
    <w:name w:val="Strong"/>
    <w:basedOn w:val="DefaultParagraphFont"/>
    <w:uiPriority w:val="22"/>
    <w:qFormat/>
    <w:rsid w:val="00362E2C"/>
    <w:rPr>
      <w:b/>
      <w:bCs/>
    </w:rPr>
  </w:style>
  <w:style w:type="table" w:customStyle="1" w:styleId="a">
    <w:basedOn w:val="TableNormal"/>
    <w:pPr>
      <w:spacing w:line="240" w:lineRule="auto"/>
    </w:pPr>
    <w:rPr>
      <w:rFonts w:ascii="Calibri" w:eastAsia="Calibri" w:hAnsi="Calibri" w:cs="Calibri"/>
      <w:color w:val="000000"/>
      <w:sz w:val="22"/>
      <w:szCs w:val="22"/>
    </w:r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3">
    <w:basedOn w:val="TableNormal"/>
    <w:pPr>
      <w:spacing w:line="240" w:lineRule="auto"/>
    </w:pPr>
    <w:rPr>
      <w:rFonts w:ascii="Calibri" w:eastAsia="Calibri" w:hAnsi="Calibri" w:cs="Calibri"/>
      <w:color w:val="000000"/>
      <w:sz w:val="22"/>
      <w:szCs w:val="22"/>
    </w:rPr>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hyperlink" Target="https://www.sitpune.edu.in/" TargetMode="External"/><Relationship Id="rId4" Type="http://schemas.openxmlformats.org/officeDocument/2006/relationships/settings" Target="settings.xml"/><Relationship Id="rId9" Type="http://schemas.openxmlformats.org/officeDocument/2006/relationships/hyperlink" Target="https://www.sitpune.edu.in/" TargetMode="External"/><Relationship Id="rId14" Type="http://schemas.openxmlformats.org/officeDocument/2006/relationships/theme" Target="theme/theme1.xml"/><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e5vW6PpwgHYxbDxZ/YP5IRbKUQ==">CgMxLjAyCGguZ2pkZ3hzMgloLjMwajB6bGwyCWguMWZvYjl0ZTgAciExTDlDcXAwRGFFVkVBUDF3SktoSVpJUmtJbE1tdms4a0U=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60</Pages>
  <Words>663</Words>
  <Characters>3782</Characters>
  <Application>Microsoft Office Word</Application>
  <DocSecurity>0</DocSecurity>
  <Lines>31</Lines>
  <Paragraphs>8</Paragraphs>
  <ScaleCrop>false</ScaleCrop>
  <Company/>
  <LinksUpToDate>false</LinksUpToDate>
  <CharactersWithSpaces>4437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Trijal Burman; Tiya Singh; Gayatri Rajesh Apotikar; Nimita Jestin</dc:creator>
  <cp:lastModifiedBy>Lenovo</cp:lastModifiedBy>
  <cp:revision>2</cp:revision>
  <dcterms:created xsi:type="dcterms:W3CDTF">2019-05-01T08:44:00Z</dcterms:created>
  <dcterms:modified xsi:type="dcterms:W3CDTF">2026-09-15T06:57:00Z</dcterms:modified>
  <dc:title>LocalMind: Local-First Agentic Knowledge Copilot with a Custom MCP Memory Server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566b3aa463c8b5ce375702a4d59a8cf88a0db2b5751500fe222657c82ff52893</vt:lpwstr>
  </property>
</Properties>
</file>