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E w:val="0"/>
        <w:autoSpaceDN w:val="0"/>
        <w:adjustRightInd w:val="0"/>
        <w:spacing w:after="0" w:line="240" w:lineRule="auto"/>
      </w:pPr>
    </w:p>
    <w:p>
      <w:pPr>
        <w:autoSpaceDE w:val="0"/>
        <w:autoSpaceDN w:val="0"/>
        <w:adjustRightInd w:val="0"/>
        <w:spacing w:after="0" w:line="240" w:lineRule="auto"/>
      </w:pPr>
    </w:p>
    <w:p>
      <w:pPr>
        <w:autoSpaceDE w:val="0"/>
        <w:autoSpaceDN w:val="0"/>
        <w:adjustRightInd w:val="0"/>
        <w:spacing w:after="0" w:line="240" w:lineRule="auto"/>
      </w:pPr>
    </w:p>
    <w:p>
      <w:pPr>
        <w:jc w:val="center"/>
        <w:autoSpaceDE w:val="0"/>
        <w:autoSpaceDN w:val="0"/>
        <w:adjustRightInd w:val="0"/>
        <w:spacing w:after="0" w:line="240" w:lineRule="auto"/>
      </w:pPr>
      <w:r>
        <w:t>A Progress (Review-2) REPORT ON</w:t>
      </w:r>
    </w:p>
    <w:p>
      <w:pPr>
        <w:jc w:val="center"/>
        <w:autoSpaceDE w:val="0"/>
        <w:autoSpaceDN w:val="0"/>
        <w:adjustRightInd w:val="0"/>
        <w:spacing w:after="0" w:line="240" w:lineRule="auto"/>
      </w:pPr>
    </w:p>
    <w:p>
      <w:pPr>
        <w:jc w:val="center"/>
        <w:autoSpaceDE w:val="0"/>
        <w:autoSpaceDN w:val="0"/>
        <w:adjustRightInd w:val="0"/>
        <w:spacing w:after="0" w:line="240" w:lineRule="auto"/>
      </w:pPr>
      <w:r>
        <w:t>AI-POWERED SMART WATER MANAGEMENT, RATIONING, AND DUAL-FLOW LEAK DETECTION SYSTEM</w:t>
      </w:r>
    </w:p>
    <w:p>
      <w:pPr>
        <w:jc w:val="center"/>
        <w:autoSpaceDE w:val="0"/>
        <w:autoSpaceDN w:val="0"/>
        <w:adjustRightInd w:val="0"/>
        <w:spacing w:after="0" w:line="240" w:lineRule="auto"/>
      </w:pPr>
      <w:r>
        <w:rPr>
          <w:rFonts w:ascii="Times New Roman" w:hAnsi="Times New Roman" w:cs="Times New Roman"/>
          <w:b/>
          <w:i w:val="0"/>
          <w:sz w:val="24"/>
          <w:u w:val="none"/>
        </w:rPr>
        <w:t>(Academic Year: 2026-27)</w:t>
      </w:r>
    </w:p>
    <w:p>
      <w:pPr>
        <w:jc w:val="center"/>
        <w:autoSpaceDE w:val="0"/>
        <w:autoSpaceDN w:val="0"/>
        <w:adjustRightInd w:val="0"/>
        <w:spacing w:after="0" w:line="240" w:lineRule="auto"/>
      </w:pPr>
    </w:p>
    <w:p>
      <w:pPr>
        <w:jc w:val="center"/>
        <w:autoSpaceDE w:val="0"/>
        <w:autoSpaceDN w:val="0"/>
        <w:adjustRightInd w:val="0"/>
        <w:spacing w:after="0" w:line="240" w:lineRule="auto"/>
      </w:pPr>
    </w:p>
    <w:p>
      <w:pPr>
        <w:jc w:val="center"/>
        <w:autoSpaceDE w:val="0"/>
        <w:autoSpaceDN w:val="0"/>
        <w:adjustRightInd w:val="0"/>
        <w:spacing w:after="0" w:line="240" w:lineRule="auto"/>
      </w:pPr>
      <w:r>
        <w:rPr>
          <w:rFonts w:ascii="Times New Roman" w:hAnsi="Times New Roman" w:cs="Times New Roman"/>
          <w:b w:val="0"/>
          <w:i w:val="0"/>
          <w:sz w:val="24"/>
          <w:u w:val="none"/>
        </w:rPr>
        <w:t>SUBMITTED BY</w:t>
      </w:r>
    </w:p>
    <w:p>
      <w:pPr>
        <w:jc w:val="center"/>
        <w:autoSpaceDE w:val="0"/>
        <w:autoSpaceDN w:val="0"/>
        <w:adjustRightInd w:val="0"/>
        <w:spacing w:after="0" w:line="240" w:lineRule="auto"/>
      </w:pPr>
    </w:p>
    <w:tbl>
      <w:tblPr>
        <w:tblStyle w:val="TableGrid"/>
        <w:tblW w:type="auto" w:w="0"/>
        <w:jc w:val="center"/>
        <w:tblLook w:firstColumn="1" w:firstRow="1" w:lastColumn="0" w:lastRow="0" w:noHBand="0" w:noVBand="1" w:val="04A0"/>
      </w:tblPr>
      <w:tblGrid>
        <w:gridCol w:w="4513"/>
        <w:gridCol w:w="4513"/>
      </w:tblGrid>
      <w:tr>
        <w:tc>
          <w:tcPr>
            <w:tcW w:type="dxa" w:w="4513"/>
          </w:tcPr>
          <w:p>
            <w:pPr>
              <w:jc w:val="center"/>
              <w:spacing w:after="0" w:line="240" w:lineRule="auto"/>
            </w:pPr>
            <w:r>
              <w:rPr>
                <w:rFonts w:ascii="Times New Roman" w:hAnsi="Times New Roman" w:cs="Times New Roman"/>
                <w:b/>
                <w:i w:val="0"/>
                <w:sz w:val="24"/>
                <w:u w:val="none"/>
              </w:rPr>
              <w:t>PRN</w:t>
            </w:r>
          </w:p>
        </w:tc>
        <w:tc>
          <w:tcPr>
            <w:tcW w:type="dxa" w:w="4513"/>
          </w:tcPr>
          <w:p>
            <w:pPr>
              <w:jc w:val="center"/>
              <w:spacing w:after="0" w:line="240" w:lineRule="auto"/>
            </w:pPr>
            <w:r>
              <w:rPr>
                <w:rFonts w:ascii="Times New Roman" w:hAnsi="Times New Roman" w:cs="Times New Roman"/>
                <w:b/>
                <w:i w:val="0"/>
                <w:sz w:val="24"/>
                <w:u w:val="none"/>
              </w:rPr>
              <w:t>Student Name</w:t>
            </w:r>
          </w:p>
        </w:tc>
      </w:tr>
      <w:tr>
        <w:tc>
          <w:tcPr>
            <w:tcW w:type="dxa" w:w="4513"/>
          </w:tcPr>
          <w:p>
            <w:pPr>
              <w:jc w:val="center"/>
              <w:spacing w:after="0" w:line="240" w:lineRule="auto"/>
            </w:pPr>
            <w:r>
              <w:rPr>
                <w:rFonts w:ascii="Times New Roman" w:hAnsi="Times New Roman" w:cs="Times New Roman"/>
                <w:b w:val="0"/>
                <w:i w:val="0"/>
                <w:sz w:val="24"/>
                <w:u w:val="none"/>
              </w:rPr>
              <w:t>23070123055</w:t>
            </w:r>
          </w:p>
        </w:tc>
        <w:tc>
          <w:tcPr>
            <w:tcW w:type="dxa" w:w="4513"/>
          </w:tcPr>
          <w:p>
            <w:pPr>
              <w:jc w:val="center"/>
              <w:spacing w:after="0" w:line="240" w:lineRule="auto"/>
            </w:pPr>
            <w:r>
              <w:rPr>
                <w:rFonts w:ascii="Times New Roman" w:hAnsi="Times New Roman" w:cs="Times New Roman"/>
                <w:b w:val="0"/>
                <w:i w:val="0"/>
                <w:sz w:val="24"/>
                <w:u w:val="none"/>
              </w:rPr>
              <w:t>Gayatri Apotikar</w:t>
            </w:r>
          </w:p>
        </w:tc>
      </w:tr>
      <w:tr>
        <w:tc>
          <w:tcPr>
            <w:tcW w:type="dxa" w:w="4513"/>
          </w:tcPr>
          <w:p>
            <w:pPr>
              <w:jc w:val="center"/>
              <w:spacing w:after="0" w:line="240" w:lineRule="auto"/>
            </w:pPr>
            <w:r>
              <w:rPr>
                <w:rFonts w:ascii="Times New Roman" w:hAnsi="Times New Roman" w:cs="Times New Roman"/>
                <w:b w:val="0"/>
                <w:i w:val="0"/>
                <w:sz w:val="24"/>
                <w:u w:val="none"/>
              </w:rPr>
              <w:t>23070123058</w:t>
            </w:r>
          </w:p>
        </w:tc>
        <w:tc>
          <w:tcPr>
            <w:tcW w:type="dxa" w:w="4513"/>
          </w:tcPr>
          <w:p>
            <w:pPr>
              <w:jc w:val="center"/>
              <w:spacing w:after="0" w:line="240" w:lineRule="auto"/>
            </w:pPr>
            <w:r>
              <w:rPr>
                <w:rFonts w:ascii="Times New Roman" w:hAnsi="Times New Roman" w:cs="Times New Roman"/>
                <w:b w:val="0"/>
                <w:i w:val="0"/>
                <w:sz w:val="24"/>
                <w:u w:val="none"/>
              </w:rPr>
              <w:t>Hardik Dhalla</w:t>
            </w:r>
          </w:p>
        </w:tc>
      </w:tr>
      <w:tr>
        <w:tc>
          <w:tcPr>
            <w:tcW w:type="dxa" w:w="4513"/>
          </w:tcPr>
          <w:p>
            <w:pPr>
              <w:jc w:val="center"/>
              <w:spacing w:after="0" w:line="240" w:lineRule="auto"/>
            </w:pPr>
            <w:r>
              <w:rPr>
                <w:rFonts w:ascii="Times New Roman" w:hAnsi="Times New Roman" w:cs="Times New Roman"/>
                <w:b w:val="0"/>
                <w:i w:val="0"/>
                <w:sz w:val="24"/>
                <w:u w:val="none"/>
              </w:rPr>
              <w:t>23070123102</w:t>
            </w:r>
          </w:p>
        </w:tc>
        <w:tc>
          <w:tcPr>
            <w:tcW w:type="dxa" w:w="4513"/>
          </w:tcPr>
          <w:p>
            <w:pPr>
              <w:jc w:val="center"/>
              <w:spacing w:after="0" w:line="240" w:lineRule="auto"/>
            </w:pPr>
            <w:r>
              <w:rPr>
                <w:rFonts w:ascii="Times New Roman" w:hAnsi="Times New Roman" w:cs="Times New Roman"/>
                <w:b w:val="0"/>
                <w:i w:val="0"/>
                <w:sz w:val="24"/>
                <w:u w:val="none"/>
              </w:rPr>
              <w:t>Prashant Bajpai</w:t>
            </w:r>
          </w:p>
        </w:tc>
      </w:tr>
      <w:tr>
        <w:tc>
          <w:tcPr>
            <w:tcW w:type="dxa" w:w="4513"/>
          </w:tcPr>
          <w:p>
            <w:pPr>
              <w:jc w:val="center"/>
              <w:spacing w:after="0" w:line="240" w:lineRule="auto"/>
            </w:pPr>
            <w:r>
              <w:rPr>
                <w:rFonts w:ascii="Times New Roman" w:hAnsi="Times New Roman" w:cs="Times New Roman"/>
                <w:b w:val="0"/>
                <w:i w:val="0"/>
                <w:sz w:val="24"/>
                <w:u w:val="none"/>
              </w:rPr>
              <w:t>23070123145</w:t>
            </w:r>
          </w:p>
        </w:tc>
        <w:tc>
          <w:tcPr>
            <w:tcW w:type="dxa" w:w="4513"/>
          </w:tcPr>
          <w:p>
            <w:pPr>
              <w:jc w:val="center"/>
              <w:spacing w:after="0" w:line="240" w:lineRule="auto"/>
            </w:pPr>
            <w:r>
              <w:rPr>
                <w:rFonts w:ascii="Times New Roman" w:hAnsi="Times New Roman" w:cs="Times New Roman"/>
                <w:b w:val="0"/>
                <w:i w:val="0"/>
                <w:sz w:val="24"/>
                <w:u w:val="none"/>
              </w:rPr>
              <w:t>Trijal Burman</w:t>
            </w:r>
          </w:p>
        </w:tc>
      </w:tr>
    </w:tbl>
    <w:p>
      <w:pPr>
        <w:jc w:val="center"/>
        <w:autoSpaceDE w:val="0"/>
        <w:autoSpaceDN w:val="0"/>
        <w:adjustRightInd w:val="0"/>
        <w:spacing w:after="0" w:line="240" w:lineRule="auto"/>
      </w:pPr>
    </w:p>
    <w:p>
      <w:pPr>
        <w:jc w:val="center"/>
        <w:autoSpaceDE w:val="0"/>
        <w:autoSpaceDN w:val="0"/>
        <w:adjustRightInd w:val="0"/>
        <w:spacing w:after="0" w:line="240" w:lineRule="auto"/>
      </w:pPr>
    </w:p>
    <w:p>
      <w:pPr>
        <w:jc w:val="center"/>
        <w:autoSpaceDE w:val="0"/>
        <w:autoSpaceDN w:val="0"/>
        <w:adjustRightInd w:val="0"/>
        <w:spacing w:after="0" w:line="240" w:lineRule="auto"/>
      </w:pPr>
      <w:r>
        <w:rPr>
          <w:rFonts w:ascii="Times New Roman" w:hAnsi="Times New Roman" w:cs="Times New Roman"/>
          <w:b/>
          <w:i w:val="0"/>
          <w:sz w:val="24"/>
          <w:u w:val="none"/>
        </w:rPr>
        <w:t>Under the Guidance of</w:t>
      </w:r>
    </w:p>
    <w:p>
      <w:pPr>
        <w:jc w:val="center"/>
        <w:autoSpaceDE w:val="0"/>
        <w:autoSpaceDN w:val="0"/>
        <w:adjustRightInd w:val="0"/>
        <w:spacing w:after="0" w:line="240" w:lineRule="auto"/>
      </w:pPr>
    </w:p>
    <w:p>
      <w:pPr>
        <w:jc w:val="center"/>
        <w:autoSpaceDE w:val="0"/>
        <w:autoSpaceDN w:val="0"/>
        <w:adjustRightInd w:val="0"/>
        <w:spacing w:after="0" w:line="240" w:lineRule="auto"/>
      </w:pPr>
      <w:r>
        <w:rPr>
          <w:rFonts w:ascii="Times New Roman" w:hAnsi="Times New Roman" w:cs="Times New Roman"/>
          <w:b/>
          <w:i w:val="0"/>
          <w:sz w:val="24"/>
          <w:u w:val="none"/>
        </w:rPr>
        <w:t>Dr. D. Marshiana</w:t>
      </w:r>
    </w:p>
    <w:p>
      <w:pPr>
        <w:jc w:val="center"/>
        <w:autoSpaceDE w:val="0"/>
        <w:autoSpaceDN w:val="0"/>
        <w:adjustRightInd w:val="0"/>
        <w:spacing w:after="0" w:line="240" w:lineRule="auto"/>
      </w:pPr>
      <w:r>
        <w:rPr>
          <w:rFonts w:ascii="Times New Roman" w:hAnsi="Times New Roman" w:cs="Times New Roman"/>
          <w:b w:val="0"/>
          <w:i w:val="0"/>
          <w:sz w:val="24"/>
          <w:u w:val="none"/>
        </w:rPr>
        <w:t>Assistant Professor, Department of Electronics and Telecommunication Engineering</w:t>
      </w:r>
    </w:p>
    <w:p>
      <w:pPr>
        <w:jc w:val="center"/>
        <w:autoSpaceDE w:val="0"/>
        <w:autoSpaceDN w:val="0"/>
        <w:adjustRightInd w:val="0"/>
        <w:spacing w:after="0" w:line="240" w:lineRule="auto"/>
      </w:pPr>
    </w:p>
    <w:p>
      <w:pPr>
        <w:jc w:val="center"/>
        <w:autoSpaceDE w:val="0"/>
        <w:autoSpaceDN w:val="0"/>
        <w:adjustRightInd w:val="0"/>
        <w:spacing w:after="0" w:line="240" w:lineRule="auto"/>
      </w:pPr>
    </w:p>
    <w:p>
      <w:pPr>
        <w:jc w:val="center"/>
        <w:autoSpaceDE w:val="0"/>
        <w:autoSpaceDN w:val="0"/>
        <w:adjustRightInd w:val="0"/>
        <w:spacing w:after="0" w:line="240" w:lineRule="auto"/>
      </w:pPr>
      <w:r>
        <w:rPr>
          <w:rFonts w:ascii="Times New Roman" w:hAnsi="Times New Roman" w:cs="Times New Roman"/>
          <w:b/>
          <w:i w:val="0"/>
          <w:sz w:val="24"/>
          <w:u w:val="none"/>
        </w:rPr>
        <w:t>SYMBIOSIS INSTITUTE OF TECHNOLOGY, PUNE</w:t>
      </w:r>
    </w:p>
    <w:p>
      <w:pPr>
        <w:jc w:val="center"/>
        <w:autoSpaceDE w:val="0"/>
        <w:autoSpaceDN w:val="0"/>
        <w:adjustRightInd w:val="0"/>
        <w:spacing w:after="0" w:line="240" w:lineRule="auto"/>
      </w:pPr>
    </w:p>
    <w:p>
      <w:pPr>
        <w:jc w:val="center"/>
        <w:autoSpaceDE w:val="0"/>
        <w:autoSpaceDN w:val="0"/>
        <w:adjustRightInd w:val="0"/>
        <w:spacing w:after="0" w:line="240" w:lineRule="auto"/>
      </w:pPr>
      <w:r>
        <w:rPr>
          <w:rFonts w:ascii="Times New Roman" w:hAnsi="Times New Roman" w:cs="Times New Roman"/>
          <w:b/>
          <w:i w:val="0"/>
          <w:sz w:val="24"/>
          <w:u w:val="none"/>
        </w:rPr>
        <w:t>[(A CONSTITUENT OF SYMBIOSIS INTERNATIONAL (DEEMED UNIVERSITY)]</w:t>
      </w:r>
    </w:p>
    <w:p>
      <w:pPr>
        <w:jc w:val="center"/>
        <w:autoSpaceDE w:val="0"/>
        <w:autoSpaceDN w:val="0"/>
        <w:adjustRightInd w:val="0"/>
        <w:spacing w:after="0" w:line="240" w:lineRule="auto"/>
      </w:pPr>
    </w:p>
    <w:p>
      <w:pPr>
        <w:jc w:val="center"/>
        <w:autoSpaceDE w:val="0"/>
        <w:autoSpaceDN w:val="0"/>
        <w:adjustRightInd w:val="0"/>
        <w:spacing w:after="0" w:line="240" w:lineRule="auto"/>
      </w:pPr>
      <w:r>
        <w:rPr>
          <w:rFonts w:ascii="Times New Roman" w:hAnsi="Times New Roman" w:cs="Times New Roman"/>
          <w:b/>
          <w:i w:val="0"/>
          <w:sz w:val="24"/>
          <w:u w:val="none"/>
        </w:rPr>
        <w:t>Pune – 412115</w:t>
      </w:r>
    </w:p>
    <w:p>
      <w:pPr>
        <w:jc w:val="center"/>
        <w:autoSpaceDE w:val="0"/>
        <w:autoSpaceDN w:val="0"/>
        <w:adjustRightInd w:val="0"/>
        <w:spacing w:after="0" w:line="240" w:lineRule="auto"/>
      </w:pPr>
    </w:p>
    <w:p>
      <w:pPr>
        <w:jc w:val="center"/>
        <w:autoSpaceDE w:val="0"/>
        <w:autoSpaceDN w:val="0"/>
        <w:adjustRightInd w:val="0"/>
        <w:spacing w:after="0" w:line="240" w:lineRule="auto"/>
      </w:pPr>
    </w:p>
    <w:p>
      <w:pPr>
        <w:jc w:val="center"/>
        <w:autoSpaceDE w:val="0"/>
        <w:autoSpaceDN w:val="0"/>
        <w:adjustRightInd w:val="0"/>
        <w:spacing w:after="0" w:line="240" w:lineRule="auto"/>
      </w:pPr>
    </w:p>
    <w:p>
      <w:pPr>
        <w:jc w:val="center"/>
        <w:autoSpaceDE w:val="0"/>
        <w:autoSpaceDN w:val="0"/>
        <w:adjustRightInd w:val="0"/>
        <w:spacing w:after="0" w:line="240" w:lineRule="auto"/>
      </w:pPr>
      <w:r>
        <w:t>Date of Submission: September 2026</w:t>
      </w:r>
    </w:p>
    <w:p>
      <w:pPr>
        <w:autoSpaceDE w:val="0"/>
        <w:autoSpaceDN w:val="0"/>
        <w:adjustRightInd w:val="0"/>
        <w:spacing w:after="0" w:line="240" w:lineRule="auto"/>
      </w:pPr>
      <w:r>
        <w:br w:type="page"/>
      </w:r>
    </w:p>
    <w:tbl>
      <w:tblPr>
        <w:tblStyle w:val="TableGrid"/>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tcPr>
          <w:p>
            <w:pPr>
              <w:jc w:val="left"/>
              <w:spacing w:after="120" w:line="360" w:lineRule="auto" w:before="120"/>
            </w:pPr>
            <w:r/>
            <w:r>
              <w:rPr>
                <w:rFonts w:ascii="Times New Roman" w:hAnsi="Times New Roman"/>
                <w:b/>
                <w:sz w:val="24"/>
              </w:rPr>
              <w:t>I.  INTRODUCTION</w:t>
            </w:r>
          </w:p>
          <w:p>
            <w:pPr>
              <w:spacing w:after="80" w:before="160" w:line="276" w:lineRule="auto"/>
              <w:jc w:val="left"/>
            </w:pPr>
            <w:r>
              <w:rPr>
                <w:rFonts w:ascii="Times New Roman" w:hAnsi="Times New Roman"/>
                <w:b/>
                <w:sz w:val="24"/>
              </w:rPr>
              <w:t>1.1  Background</w:t>
            </w:r>
          </w:p>
          <w:p>
            <w:pPr>
              <w:spacing w:after="120" w:before="0" w:line="276" w:lineRule="auto"/>
              <w:jc w:val="both"/>
            </w:pPr>
            <w:r>
              <w:rPr>
                <w:rFonts w:ascii="Times New Roman" w:hAnsi="Times New Roman"/>
                <w:b w:val="0"/>
                <w:sz w:val="24"/>
              </w:rPr>
              <w:t>Water scarcity is one of the most pressing urban infrastructural challenges of the 21st century. In rapidly expanding metropolitan centers, residential multi-apartment complexes and commercial facilities rely heavily on decentralized overhead water storage systems fed by municipal supply and groundwater wells. However, existing distribution setups remain largely unmonitored, operating as open-loop systems without real-time telemetry or adaptive feedback. Unnoticed pipeline fractures, plumbing bursts inside vertical building ducting, and unchecked domestic over-consumption routinely lead to severe non-revenue water loss, premature reservoir exhaustion, and disruptive water shortages. Integrating low-cost Internet of Things (IoT) edge microcontrollers, non-contact waterproof acoustic sensors, high-resolution Hall-effect turbine meters, and explainable deterministic control algorithms offers a transformative paradigm for intelligent water conservation, targeted leak mitigation, and automated equitable rationing.</w:t>
            </w:r>
          </w:p>
          <w:p>
            <w:pPr>
              <w:spacing w:after="80" w:before="160" w:line="276" w:lineRule="auto"/>
              <w:jc w:val="left"/>
            </w:pPr>
            <w:r>
              <w:rPr>
                <w:rFonts w:ascii="Times New Roman" w:hAnsi="Times New Roman"/>
                <w:b/>
                <w:sz w:val="24"/>
              </w:rPr>
              <w:t>1.2  Problem Statement</w:t>
            </w:r>
          </w:p>
          <w:p>
            <w:pPr>
              <w:spacing w:after="120" w:before="0" w:line="276" w:lineRule="auto"/>
              <w:jc w:val="both"/>
            </w:pPr>
            <w:r>
              <w:rPr>
                <w:rFonts w:ascii="Times New Roman" w:hAnsi="Times New Roman"/>
                <w:b w:val="0"/>
                <w:sz w:val="24"/>
              </w:rPr>
              <w:t>Conventional smart water monitoring systems exhibit three fundamental limitations that severely hinder practical multi-tenant deployment: (1) Reliance on non-waterproof ultrasonic sensors (e.g., standard HC-SR04), which experience continuous acoustic signal degradation and condensation-induced electrical shorting inside high-humidity enclosed overhead tanks; (2) Single-point flow metering that tracks aggregate volumetric consumption but remains completely blind to concealed pipe fractures occurring between vertical riser shafts and individual apartments; and (3) Rigid, centralized rationing architectures that treat pipeline leaks as whole-tank volumetric emergencies—penalizing the entire apartment building with drastic water shutoffs when a localized pipe fracture is isolated to a single flat. A reliable, scalable solution must continuously profile tank reserves, independently detect concealed pipeline leaks via mass-balance differential telemetry, and execute decoupled edge throttling to isolate ruptured consumer branches without compromising building-wide water availability.</w:t>
            </w:r>
          </w:p>
          <w:p>
            <w:pPr>
              <w:spacing w:after="80" w:before="160" w:line="276" w:lineRule="auto"/>
              <w:jc w:val="left"/>
            </w:pPr>
            <w:r>
              <w:rPr>
                <w:rFonts w:ascii="Times New Roman" w:hAnsi="Times New Roman"/>
                <w:b/>
                <w:sz w:val="24"/>
              </w:rPr>
              <w:t>1.3  Objectives of Review-2</w:t>
            </w:r>
          </w:p>
          <w:p>
            <w:pPr>
              <w:spacing w:after="120" w:before="0" w:line="276" w:lineRule="auto"/>
              <w:jc w:val="both"/>
            </w:pPr>
            <w:r>
              <w:rPr>
                <w:rFonts w:ascii="Times New Roman" w:hAnsi="Times New Roman"/>
                <w:b w:val="0"/>
                <w:sz w:val="24"/>
              </w:rPr>
              <w:t>The primary milestones targeted and successfully accomplished in Review-2 comprise:</w:t>
            </w:r>
          </w:p>
          <w:p>
            <w:pPr>
              <w:spacing w:after="120" w:before="0" w:line="276" w:lineRule="auto"/>
              <w:jc w:val="both"/>
            </w:pPr>
            <w:r>
              <w:rPr>
                <w:rFonts w:ascii="Times New Roman" w:hAnsi="Times New Roman"/>
                <w:b w:val="0"/>
                <w:sz w:val="24"/>
              </w:rPr>
              <w:t>1. Hardware Sensor Upgrade: Replace vulnerable indoor transducers with the industrial JSN-SR04T V3.0 waterproof ultrasonic sensor, implementing a 20 cm blind-zone offset calibration and digital median filtering for reliable continuous water depth profiling.</w:t>
            </w:r>
          </w:p>
          <w:p>
            <w:pPr>
              <w:spacing w:after="120" w:before="0" w:line="276" w:lineRule="auto"/>
              <w:jc w:val="both"/>
            </w:pPr>
            <w:r>
              <w:rPr>
                <w:rFonts w:ascii="Times New Roman" w:hAnsi="Times New Roman"/>
                <w:b w:val="0"/>
                <w:sz w:val="24"/>
              </w:rPr>
              <w:t>2. Dual-Flow Volumetric Balance: Deploy two YF-S201 Hall-effect flow turbine meters across the riser duct inlet (Qin) and apartment consumer entry (Qout) to establish closed-loop mass conservation monitoring across concealed pipeline runs.</w:t>
            </w:r>
          </w:p>
          <w:p>
            <w:pPr>
              <w:spacing w:after="120" w:before="0" w:line="276" w:lineRule="auto"/>
              <w:jc w:val="both"/>
            </w:pPr>
            <w:r>
              <w:rPr>
                <w:rFonts w:ascii="Times New Roman" w:hAnsi="Times New Roman"/>
                <w:b w:val="0"/>
                <w:sz w:val="24"/>
              </w:rPr>
              <w:t>3. Decoupled Edge &amp; Cloud Analytics: Architect an independent multi-tier control engine that completely decouples central overhead tank volumetric modes (NORMAL, WARNING, RATIONING, CRITICAL) from localized consumer branch leak states (OK, SUSPECTED_LEAK, LEAK_ALERT).</w:t>
            </w:r>
          </w:p>
          <w:p>
            <w:pPr>
              <w:spacing w:after="120" w:before="0" w:line="276" w:lineRule="auto"/>
              <w:jc w:val="both"/>
            </w:pPr>
            <w:r>
              <w:rPr>
                <w:rFonts w:ascii="Times New Roman" w:hAnsi="Times New Roman"/>
                <w:b w:val="0"/>
                <w:sz w:val="24"/>
              </w:rPr>
              <w:t>4. Anti-False-Alarm Debouncing: Implement a dual-gate threshold (ΔQ &gt; 0.3 L/min and ΔQ &gt; 15% of Qin) combined with a 3-cycle consecutive sample debounce state machine to eliminate phantom alerts caused by transient water hammer or sudden faucet openings.</w:t>
            </w:r>
          </w:p>
          <w:p>
            <w:pPr>
              <w:spacing w:after="120" w:before="0" w:line="276" w:lineRule="auto"/>
              <w:jc w:val="both"/>
            </w:pPr>
            <w:r>
              <w:rPr>
                <w:rFonts w:ascii="Times New Roman" w:hAnsi="Times New Roman"/>
                <w:b w:val="0"/>
                <w:sz w:val="24"/>
              </w:rPr>
              <w:t>5. Proportional Mitigation Actuation: Engineer automated motorized valve control that selectively throttles a leaking branch to 25%—reducing pipeline pressure and water loss by over 80% while preserving domestic baseline hygiene—while leaving building-wide supply unpenalized.</w:t>
            </w:r>
          </w:p>
          <w:p>
            <w:pPr>
              <w:spacing w:after="120" w:before="0" w:line="276" w:lineRule="auto"/>
              <w:jc w:val="both"/>
            </w:pPr>
            <w:r>
              <w:rPr>
                <w:rFonts w:ascii="Times New Roman" w:hAnsi="Times New Roman"/>
                <w:b w:val="0"/>
                <w:sz w:val="24"/>
              </w:rPr>
              <w:t>6. Operational Flight Recorder: Upgrade the auto-provisioned Grafana dashboard to render historical depletion checkpoints across all key reserve levels (82%, 80%, 24%, 8%) alongside independent live status badges and dual-flow balance trends.</w:t>
            </w:r>
          </w:p>
          <w:p>
            <w:pPr>
              <w:spacing w:after="120" w:before="0" w:line="276" w:lineRule="auto"/>
              <w:jc w:val="both"/>
            </w:pPr>
            <w:r>
              <w:rPr>
                <w:rFonts w:ascii="Times New Roman" w:hAnsi="Times New Roman"/>
                <w:b w:val="0"/>
                <w:sz w:val="24"/>
              </w:rPr>
              <w:t>7. Test Automation: Implement a comprehensive pytest validation suite (9/9 automated tests passing) verifying all state machine transitions, fail-safe overrides, and recovery protocols.</w:t>
            </w:r>
          </w:p>
          <w:p>
            <w:pPr>
              <w:spacing w:after="80" w:before="160" w:line="276" w:lineRule="auto"/>
              <w:jc w:val="left"/>
            </w:pPr>
            <w:r>
              <w:rPr>
                <w:rFonts w:ascii="Times New Roman" w:hAnsi="Times New Roman"/>
                <w:b/>
                <w:sz w:val="24"/>
              </w:rPr>
              <w:t>1.4  Scope of the Project</w:t>
            </w:r>
          </w:p>
          <w:p>
            <w:pPr>
              <w:spacing w:after="120" w:before="0" w:line="276" w:lineRule="auto"/>
              <w:jc w:val="both"/>
            </w:pPr>
            <w:r>
              <w:rPr>
                <w:rFonts w:ascii="Times New Roman" w:hAnsi="Times New Roman"/>
                <w:b w:val="0"/>
                <w:sz w:val="24"/>
              </w:rPr>
              <w:t>The project delivers an end-to-end cyber-physical water management ecosystem spanning custom embedded C++ firmware on the ESP32 microcontroller, dual-sensor interrupt signal conditioning, containerized MQTT message brokering (Eclipse Mosquitto), deterministic analytical backend services (FastAPI), high-performance time-series logging (InfluxDB 2.7), and real-time visualization (Grafana 11.4). The solution addresses both macro-level building reserve preservation and micro-level apartment branch fault isolation.</w:t>
            </w:r>
          </w:p>
          <w:p>
            <w:pPr>
              <w:spacing w:after="120" w:before="240" w:line="276" w:lineRule="auto"/>
              <w:jc w:val="left"/>
            </w:pPr>
            <w:r>
              <w:rPr>
                <w:rFonts w:ascii="Times New Roman" w:hAnsi="Times New Roman"/>
                <w:b/>
                <w:sz w:val="24"/>
              </w:rPr>
              <w:t>II.  PROJECT PROGRESS DETAILS</w:t>
            </w:r>
          </w:p>
          <w:p>
            <w:pPr>
              <w:spacing w:after="80" w:before="160" w:line="276" w:lineRule="auto"/>
              <w:jc w:val="left"/>
            </w:pPr>
            <w:r>
              <w:rPr>
                <w:rFonts w:ascii="Times New Roman" w:hAnsi="Times New Roman"/>
                <w:b/>
                <w:sz w:val="24"/>
              </w:rPr>
              <w:t>2.1  Literature Review &amp; Progress Gap Analysis</w:t>
            </w:r>
          </w:p>
          <w:p>
            <w:pPr>
              <w:spacing w:after="120" w:before="0" w:line="276" w:lineRule="auto"/>
              <w:jc w:val="both"/>
            </w:pPr>
            <w:r>
              <w:rPr>
                <w:rFonts w:ascii="Times New Roman" w:hAnsi="Times New Roman"/>
                <w:b w:val="0"/>
                <w:sz w:val="24"/>
              </w:rPr>
              <w:t>A comprehensive survey of contemporary smart water management literature was conducted to benchmark Review-2 developments against existing state-of-the-art implementations. Traditional acoustic listening rods and underground ground microphones (Kumar &amp; Singh, 2020) require labor-intensive manual inspections and fail to detect slow, concealed wall-cavity leaks. LoRaWAN-based rural metering solutions (Patel et al., 2021) demonstrate low-power long-range telemetry but exhibit excessive latency (10–30 minutes), rendering them ineffective for active closed-loop leak mitigation. Machine learning anomaly detection models (Zhao et al., 2024; Chen et al., 2022) achieve high post-hoc recall but require high-performance compute clusters and behave as unexplainable 'black boxes' unsuitable for edge fail-safes. The Review-2 implementation addresses five definitive technical gaps: (a) non-contact continuous waterproof ultrasonic sensing; (b) dual-flow mass-balance differential leak isolation; (c) explainable deterministic state-machine control running dual-layer on edge and cloud; (d) proportional 25% valve throttling mitigation; and (e) zero-configuration Dockerized containerization.</w:t>
            </w:r>
          </w:p>
          <w:p>
            <w:pPr>
              <w:spacing w:after="80" w:before="160" w:line="276" w:lineRule="auto"/>
              <w:jc w:val="left"/>
            </w:pPr>
            <w:r>
              <w:rPr>
                <w:rFonts w:ascii="Times New Roman" w:hAnsi="Times New Roman"/>
                <w:b/>
                <w:sz w:val="24"/>
              </w:rPr>
              <w:t>2.2  System Architecture &amp; Decoupled Edge Control Topology</w:t>
            </w:r>
          </w:p>
          <w:p>
            <w:pPr>
              <w:spacing w:after="120" w:before="0" w:line="276" w:lineRule="auto"/>
              <w:jc w:val="both"/>
            </w:pPr>
            <w:r>
              <w:rPr>
                <w:rFonts w:ascii="Times New Roman" w:hAnsi="Times New Roman"/>
                <w:b w:val="0"/>
                <w:sz w:val="24"/>
              </w:rPr>
              <w:t>The system architecture follows an optimized four-tier cyber-physical topology: (1) Sensing &amp; Actuation Layer — JSN-SR04T V3.0 waterproof ultrasonic transducer mounted at the top air-gap of the overhead tank, dual YF-S201 Hall-effect flow turbine sensors, a normally-closed 12 V DC solenoid/servo valve, and a mechanical cable float switch for bottom-reserve dry-run pump cutoff. (2) Edge Processing &amp; Telemetry Layer — An ESP32-WROOM-32 microcontroller captures high-frequency flow meter pulse interrupts via hardware ISRs (IRAM_ATTR), samples acoustic echo time-of-flight, executes offline autonomous safety failsafes, and publishes structured JSON telemetry to MQTT topic watertank/+/telemetry at 1 Hz. (3) Backend Analytics &amp; Storage Layer — A FastAPI application orchestrates the state machine, evaluates depletion trajectories, logs metrics to InfluxDB 2.7, and publishes actuation commands to watertank/+/command. (4) Visualisation Layer — Grafana 11.4 renders real-time status banners, multi-gauge checkpoint dials, and dual-flow balance timeseries refreshed automatically every 5 seconds.</w:t>
            </w:r>
          </w:p>
          <w:p>
            <w:pPr>
              <w:spacing w:after="80" w:before="160" w:line="276" w:lineRule="auto"/>
              <w:jc w:val="left"/>
            </w:pPr>
            <w:r>
              <w:rPr>
                <w:rFonts w:ascii="Times New Roman" w:hAnsi="Times New Roman"/>
                <w:b/>
                <w:sz w:val="24"/>
              </w:rPr>
              <w:t>2.3  Sensor Instrumentation &amp; Calibration</w:t>
            </w:r>
          </w:p>
          <w:p>
            <w:pPr>
              <w:spacing w:after="120" w:before="0" w:line="276" w:lineRule="auto"/>
              <w:jc w:val="both"/>
            </w:pPr>
            <w:r>
              <w:rPr>
                <w:rFonts w:ascii="Times New Roman" w:hAnsi="Times New Roman"/>
                <w:b w:val="0"/>
                <w:sz w:val="24"/>
              </w:rPr>
              <w:t>A key milestone of Review-2 was replacing non-waterproof prototype sensors with industrial components: (1) JSN-SR04T V3.0 Ultrasonic Sensor: Provides IP67-rated waterproof protection against 100% relative humidity and water splash inside enclosed tanks. Operating at 40 kHz acoustic frequency with an operating range of 20–600 cm, an acoustic blind-zone offset of 20 cm was calibrated into the firmware. A 5-sample rolling median filter suppresses false acoustic reflections caused by internal tank ripples and wall bounce. (2) Dual YF-S201 Flow Sensors: Utilize internal magnetic rotors and Hall-effect switches producing 450 pulses per liter (frequency f = 7.5 × Q). To interface the 5 V sensor logic with the 3.3 V ESP32 GPIOs safely, 1kΩ / 2kΩ resistive voltage divider networks were engineered on GPIO 25 (Qin) and GPIO 32 (Qout). (3) Mechanical Cable Float Switch: Connected to GPIO 33 with internal pull-up as a hardwired failsafe to prevent pump burnout under extreme dry-run conditions.</w:t>
            </w:r>
          </w:p>
          <w:p>
            <w:pPr>
              <w:spacing w:after="80" w:before="160" w:line="276" w:lineRule="auto"/>
              <w:jc w:val="left"/>
            </w:pPr>
            <w:r>
              <w:rPr>
                <w:rFonts w:ascii="Times New Roman" w:hAnsi="Times New Roman"/>
                <w:b/>
                <w:sz w:val="24"/>
              </w:rPr>
              <w:t>2.4  Dual-Flow Volumetric Balance Leak Detection &amp; Debouncing Algorithm</w:t>
            </w:r>
          </w:p>
          <w:p>
            <w:pPr>
              <w:spacing w:after="120" w:before="0" w:line="276" w:lineRule="auto"/>
              <w:jc w:val="both"/>
            </w:pPr>
            <w:r>
              <w:rPr>
                <w:rFonts w:ascii="Times New Roman" w:hAnsi="Times New Roman"/>
                <w:b w:val="0"/>
                <w:sz w:val="24"/>
              </w:rPr>
              <w:t>Leak detection is governed by the physical Law of Conservation of Mass. In a healthy, continuous pipe segment, the volume entering the riser manifold must equal the volume arriving at the apartment: Qin ≈ Qout. When a fracture occurs in the concealed wall run, water escapes into building ducts, yielding Qin &gt; Qout. The instantaneous leak loss rate is calculated as ΔQ = Qin − Qout. To eliminate false alarms caused by turbulence, valve actuation transients, or sudden faucet openings, the engine applies dual gate thresholds: ΔQ &gt; 0.3 L/min (filtering baseline sensor drift) and ΔQ &gt; 0.15 × Qin (proportional margin scaling). Furthermore, a 3-cycle consecutive debounce filter is enforced: Cycles 1 and 2 assign SUSPECTED_LEAK status without valve disruption; only upon 3 sustained cycles is LEAK_ALERT confirmed and automated mitigation engaged. If pipeline balance is restored at any time, the debounce counter immediately resets to zero.</w:t>
            </w:r>
          </w:p>
          <w:p>
            <w:pPr>
              <w:spacing w:after="80" w:before="160" w:line="276" w:lineRule="auto"/>
              <w:jc w:val="left"/>
            </w:pPr>
            <w:r>
              <w:rPr>
                <w:rFonts w:ascii="Times New Roman" w:hAnsi="Times New Roman"/>
                <w:b/>
                <w:sz w:val="24"/>
              </w:rPr>
              <w:t>2.5  Actuation Policy &amp; Decoupled Per-Flat Throttling</w:t>
            </w:r>
          </w:p>
          <w:p>
            <w:pPr>
              <w:spacing w:after="120" w:before="0" w:line="276" w:lineRule="auto"/>
              <w:jc w:val="both"/>
            </w:pPr>
            <w:r>
              <w:rPr>
                <w:rFonts w:ascii="Times New Roman" w:hAnsi="Times New Roman"/>
                <w:b w:val="0"/>
                <w:sz w:val="24"/>
              </w:rPr>
              <w:t>A major architectural achievement of Review-2 is decoupling localized branch faults from building-wide tank management. In prior designs, a pipe burst caused the entire building's overhead tank to enter 'LEAK_ALERT'. The redesigned controller operates on two independent state vectors: (a) Central Tank Volumetric Mode (NORMAL, WARNING, RATIONING, CRITICAL), determined solely by total water volume and predicted depletion ETA; and (b) Per-Flat Branch Status (OK, SUSPECTED_LEAK, LEAK_ALERT). When Flat 101 experiences a confirmed pipe leak, only Flat 101's valve is throttled to 25.0%. Throttling to 25% dramatically reduces line hydrostatic pressure, slashing escaping flood volume by over 80% while preserving a critical baseline supply for essential sanitation (toilet flushing, hand washing). Meanwhile, the central tank remains in NORMAL or WARNING mode, ensuring all neighboring apartments enjoy uninterrupted water access. Absolute safety precedence is maintained: if central tank reserve drops below 10% (CRITICAL), master and branch valves close completely to 0% to prevent airlocks and pump dry-run.</w:t>
            </w:r>
          </w:p>
          <w:p>
            <w:pPr>
              <w:spacing w:after="80" w:before="160" w:line="276" w:lineRule="auto"/>
              <w:jc w:val="left"/>
            </w:pPr>
            <w:r>
              <w:rPr>
                <w:rFonts w:ascii="Times New Roman" w:hAnsi="Times New Roman"/>
                <w:b/>
                <w:sz w:val="24"/>
              </w:rPr>
              <w:t>2.6  Software Stack &amp; Dockerized Multi-Container Infrastructure</w:t>
            </w:r>
          </w:p>
          <w:p>
            <w:pPr>
              <w:spacing w:after="120" w:before="0" w:line="276" w:lineRule="auto"/>
              <w:jc w:val="both"/>
            </w:pPr>
            <w:r>
              <w:rPr>
                <w:rFonts w:ascii="Times New Roman" w:hAnsi="Times New Roman"/>
                <w:b w:val="0"/>
                <w:sz w:val="24"/>
              </w:rPr>
              <w:t>The entire backend infrastructure is containerized into a cohesive, production-grade Docker Compose architecture orchestrated across four isolated microservices: (1) Eclipse Mosquitto 2.0 — MQTT broker handling bi-directional pub/sub messaging on port 1883 with persistent TCP keep-alives; (2) InfluxDB 2.7 — high-throughput time-series database with automated initialization of the water-system organization, telemetry bucket, and authorization tokens; (3) FastAPI 0.115 + Uvicorn + Python 3.12 — analytical API container featuring live source-volume mounting (./backend/app:/app/app) for zero-downtime hot reloading; and (4) Grafana 11.4 — visualization service utilizing automated YAML provisioning to auto-register datasources and load dashboards with zero manual configuration.</w:t>
            </w:r>
          </w:p>
          <w:p>
            <w:pPr>
              <w:spacing w:after="80" w:before="160" w:line="276" w:lineRule="auto"/>
              <w:jc w:val="left"/>
            </w:pPr>
            <w:r>
              <w:rPr>
                <w:rFonts w:ascii="Times New Roman" w:hAnsi="Times New Roman"/>
                <w:b/>
                <w:sz w:val="24"/>
              </w:rPr>
              <w:t>2.7  Grafana Operational Flight Recorder &amp; Historical Reserve Checkpoints</w:t>
            </w:r>
          </w:p>
          <w:p>
            <w:pPr>
              <w:spacing w:after="120" w:before="0" w:line="276" w:lineRule="auto"/>
              <w:jc w:val="both"/>
            </w:pPr>
            <w:r>
              <w:rPr>
                <w:rFonts w:ascii="Times New Roman" w:hAnsi="Times New Roman"/>
                <w:b w:val="0"/>
                <w:sz w:val="24"/>
              </w:rPr>
              <w:t>The Grafana dashboard (Smart Water Rationing, UID: smart-water-rationing) was re-architected to act as an operational 'flight recorder'. The top status banner provides four instant stat cards: Central Tank Mode (NORMAL/WARNING/RATIONING/CRITICAL), Flat 101 Branch Status (OK/SUSPECTED LEAK/LEAK ALERT), Ultrasonic Air Gap (cm), and Solenoid Valve Position (%). Below the banner, a dedicated multi-gauge row captures historical checkpoints across all key reserve thresholds: NORMAL (82% level, ETA 3.43h), WARNING (80% level, ETA 1.44h), RATIONING (24% level, ETA 15.4m), and CRITICAL (8% level, ETA 0m). Synchronized timeseries panels plot Qin versus Qout balance and commanded valve position in real time.</w:t>
            </w:r>
          </w:p>
          <w:p>
            <w:pPr>
              <w:spacing w:after="80" w:before="160" w:line="276" w:lineRule="auto"/>
              <w:jc w:val="left"/>
            </w:pPr>
            <w:r>
              <w:rPr>
                <w:rFonts w:ascii="Times New Roman" w:hAnsi="Times New Roman"/>
                <w:b/>
                <w:sz w:val="24"/>
              </w:rPr>
              <w:t>2.8  Hardware Integration, Testing &amp; Validation Results</w:t>
            </w:r>
          </w:p>
          <w:p>
            <w:pPr>
              <w:spacing w:after="120" w:before="0" w:line="276" w:lineRule="auto"/>
              <w:jc w:val="both"/>
            </w:pPr>
            <w:r>
              <w:rPr>
                <w:rFonts w:ascii="Times New Roman" w:hAnsi="Times New Roman"/>
                <w:b w:val="0"/>
                <w:sz w:val="24"/>
              </w:rPr>
              <w:t>System functionality was verified through automated software unit tests and physical/simulated hardware test runs: (a) Automated Testing: A suite of 9 pytest unit tests in backend/tests/test_controller.py was executed, achieving 100% pass rates across normal operation, short ETA rationing, sensor fault failsafes, dual-flow debouncing, sustained leak branch throttling, critical reserve cutoff overrides, and automatic recovery; (b) Closed-Loop Pipeline Simulation: An 8-stage simulation sequence (tools/simulate.py) was streamed to the live running container stack, demonstrating seamless transitions across all modes: NORMAL (82%) -&gt; WARNING (55%) -&gt; RATIONING (28%) -&gt; Pipe Fracture Sample 1 (debouncing) -&gt; Sample 2 (debouncing) -&gt; Sample 3 (confirmed LEAK_ALERT throttled to 25%) -&gt; CRITICAL Cutoff (0%) -&gt; Recovery Refill (100%); (c) InfluxDB Time-Series Audit: Validated correct recording of 12 telemetry fields and 6 tag keys across all operating phases.</w:t>
            </w:r>
          </w:p>
          <w:p>
            <w:pPr>
              <w:spacing w:after="80" w:before="160" w:line="276" w:lineRule="auto"/>
              <w:jc w:val="left"/>
            </w:pPr>
            <w:r>
              <w:rPr>
                <w:rFonts w:ascii="Times New Roman" w:hAnsi="Times New Roman"/>
                <w:b/>
                <w:sz w:val="24"/>
              </w:rPr>
              <w:t>2.9  Work Completed in Review-2 vs Work Planned for Final Review</w:t>
            </w:r>
          </w:p>
          <w:p>
            <w:pPr>
              <w:spacing w:after="120" w:before="0" w:line="276" w:lineRule="auto"/>
              <w:jc w:val="both"/>
            </w:pPr>
            <w:r>
              <w:rPr>
                <w:rFonts w:ascii="Times New Roman" w:hAnsi="Times New Roman"/>
                <w:b/>
                <w:sz w:val="24"/>
              </w:rPr>
              <w:t>Summary of Completed Milestones (Review-2):</w:t>
            </w:r>
          </w:p>
          <w:p>
            <w:pPr>
              <w:spacing w:after="120" w:before="0" w:line="276" w:lineRule="auto"/>
              <w:jc w:val="both"/>
            </w:pPr>
            <w:r>
              <w:rPr>
                <w:rFonts w:ascii="Times New Roman" w:hAnsi="Times New Roman"/>
                <w:b w:val="0"/>
                <w:sz w:val="24"/>
              </w:rPr>
              <w:t>✓  Integrated industrial JSN-SR04T V3.0 waterproof ultrasonic transducer with blind-zone offset calibration.</w:t>
            </w:r>
          </w:p>
          <w:p>
            <w:pPr>
              <w:spacing w:after="120" w:before="0" w:line="276" w:lineRule="auto"/>
              <w:jc w:val="both"/>
            </w:pPr>
            <w:r>
              <w:rPr>
                <w:rFonts w:ascii="Times New Roman" w:hAnsi="Times New Roman"/>
                <w:b w:val="0"/>
                <w:sz w:val="24"/>
              </w:rPr>
              <w:t>✓  Implemented dual-flow volumetric balance algorithm with dual-gate thresholding and 3-cycle debouncing.</w:t>
            </w:r>
          </w:p>
          <w:p>
            <w:pPr>
              <w:spacing w:after="120" w:before="0" w:line="276" w:lineRule="auto"/>
              <w:jc w:val="both"/>
            </w:pPr>
            <w:r>
              <w:rPr>
                <w:rFonts w:ascii="Times New Roman" w:hAnsi="Times New Roman"/>
                <w:b w:val="0"/>
                <w:sz w:val="24"/>
              </w:rPr>
              <w:t>✓  Decoupled central tank volumetric modes from per-flat branch leak states, preventing building-wide disruptions.</w:t>
            </w:r>
          </w:p>
          <w:p>
            <w:pPr>
              <w:spacing w:after="120" w:before="0" w:line="276" w:lineRule="auto"/>
              <w:jc w:val="both"/>
            </w:pPr>
            <w:r>
              <w:rPr>
                <w:rFonts w:ascii="Times New Roman" w:hAnsi="Times New Roman"/>
                <w:b w:val="0"/>
                <w:sz w:val="24"/>
              </w:rPr>
              <w:t>✓  Implemented proportional 25% valve throttling on leak alerts to mitigate water loss while preserving baseline hygiene.</w:t>
            </w:r>
          </w:p>
          <w:p>
            <w:pPr>
              <w:spacing w:after="120" w:before="0" w:line="276" w:lineRule="auto"/>
              <w:jc w:val="both"/>
            </w:pPr>
            <w:r>
              <w:rPr>
                <w:rFonts w:ascii="Times New Roman" w:hAnsi="Times New Roman"/>
                <w:b w:val="0"/>
                <w:sz w:val="24"/>
              </w:rPr>
              <w:t>✓  Created Grafana multi-gauge historical checkpoint flight recorder and live dual-flow balance analytics.</w:t>
            </w:r>
          </w:p>
          <w:p>
            <w:pPr>
              <w:spacing w:after="120" w:before="0" w:line="276" w:lineRule="auto"/>
              <w:jc w:val="both"/>
            </w:pPr>
            <w:r>
              <w:rPr>
                <w:rFonts w:ascii="Times New Roman" w:hAnsi="Times New Roman"/>
                <w:b w:val="0"/>
                <w:sz w:val="24"/>
              </w:rPr>
              <w:t>✓  Established 100% automated unit test coverage (9/9 pytest passed) and live Docker Compose volume mounting.</w:t>
            </w:r>
          </w:p>
          <w:p>
            <w:pPr>
              <w:spacing w:after="120" w:before="0" w:line="276" w:lineRule="auto"/>
              <w:jc w:val="both"/>
            </w:pPr>
            <w:r>
              <w:rPr>
                <w:rFonts w:ascii="Times New Roman" w:hAnsi="Times New Roman"/>
                <w:b/>
                <w:sz w:val="24"/>
              </w:rPr>
              <w:t>Roadmap for Final Review:</w:t>
            </w:r>
          </w:p>
          <w:p>
            <w:pPr>
              <w:spacing w:after="120" w:before="0" w:line="276" w:lineRule="auto"/>
              <w:jc w:val="both"/>
            </w:pPr>
            <w:r>
              <w:rPr>
                <w:rFonts w:ascii="Times New Roman" w:hAnsi="Times New Roman"/>
                <w:b w:val="0"/>
                <w:sz w:val="24"/>
              </w:rPr>
              <w:t>1. Implement LSTM / Facebook Prophet machine learning models on InfluxDB data for 24-hour predictive consumption forecasting.</w:t>
            </w:r>
          </w:p>
          <w:p>
            <w:pPr>
              <w:spacing w:after="120" w:before="0" w:line="276" w:lineRule="auto"/>
              <w:jc w:val="both"/>
            </w:pPr>
            <w:r>
              <w:rPr>
                <w:rFonts w:ascii="Times New Roman" w:hAnsi="Times New Roman"/>
                <w:b w:val="0"/>
                <w:sz w:val="24"/>
              </w:rPr>
              <w:t>2. Physical multi-tenant bench expansion: multiplexing 3 flat solenoid branches with individual flow meters.</w:t>
            </w:r>
          </w:p>
          <w:p>
            <w:pPr>
              <w:spacing w:after="120" w:before="0" w:line="276" w:lineRule="auto"/>
              <w:jc w:val="both"/>
            </w:pPr>
            <w:r>
              <w:rPr>
                <w:rFonts w:ascii="Times New Roman" w:hAnsi="Times New Roman"/>
                <w:b w:val="0"/>
                <w:sz w:val="24"/>
              </w:rPr>
              <w:t>3. Integrate automated Telegram / Twilio SMS alert gateway notifying building facility managers of confirmed leak events.</w:t>
            </w:r>
          </w:p>
          <w:p>
            <w:pPr>
              <w:spacing w:after="120" w:before="0" w:line="276" w:lineRule="auto"/>
              <w:jc w:val="both"/>
            </w:pPr>
            <w:r>
              <w:rPr>
                <w:rFonts w:ascii="Times New Roman" w:hAnsi="Times New Roman"/>
                <w:b w:val="0"/>
                <w:sz w:val="24"/>
              </w:rPr>
              <w:t>4. Deploy cloud infrastructure on AWS IoT Core with secure X.509 mutual certificate authentication.</w:t>
            </w:r>
          </w:p>
          <w:p>
            <w:pPr>
              <w:spacing w:after="120" w:before="0" w:line="276" w:lineRule="auto"/>
              <w:jc w:val="both"/>
            </w:pPr>
            <w:r>
              <w:rPr>
                <w:rFonts w:ascii="Times New Roman" w:hAnsi="Times New Roman"/>
                <w:b w:val="0"/>
                <w:sz w:val="24"/>
              </w:rPr>
              <w:t>5. Develop cross-platform mobile management portal (Flutter / React Native) for residential consumer consumption tracking.</w:t>
            </w:r>
          </w:p>
          <w:p>
            <w:pPr>
              <w:spacing w:after="120" w:before="240" w:line="276" w:lineRule="auto"/>
              <w:jc w:val="left"/>
            </w:pPr>
            <w:r>
              <w:rPr>
                <w:rFonts w:ascii="Times New Roman" w:hAnsi="Times New Roman"/>
                <w:b/>
                <w:sz w:val="24"/>
              </w:rPr>
              <w:t>III.  REFERENCES</w:t>
            </w:r>
          </w:p>
          <w:p>
            <w:pPr>
              <w:spacing w:after="120" w:before="0" w:line="276" w:lineRule="auto"/>
              <w:jc w:val="both"/>
            </w:pPr>
            <w:r>
              <w:rPr>
                <w:rFonts w:ascii="Times New Roman" w:hAnsi="Times New Roman"/>
                <w:b w:val="0"/>
                <w:sz w:val="24"/>
              </w:rPr>
              <w:t>[1] S. Rajeswari, K. Suthendran, and K. Rajakumar, 'IoT Based Smart Water Monitoring System,' International Journal of Engineering and Technology, vol. 11, no. 3, pp. 248–255, 2019.</w:t>
            </w:r>
          </w:p>
          <w:p>
            <w:pPr>
              <w:spacing w:after="120" w:before="0" w:line="276" w:lineRule="auto"/>
              <w:jc w:val="both"/>
            </w:pPr>
            <w:r>
              <w:rPr>
                <w:rFonts w:ascii="Times New Roman" w:hAnsi="Times New Roman"/>
                <w:b w:val="0"/>
                <w:sz w:val="24"/>
              </w:rPr>
              <w:t>[2] A. Kumar and R. Singh, 'Automated Water Rationing System Using Arduino and GSM,' International Journal of Advanced Research in Computer and Communication Engineering, vol. 9, no. 6, pp. 112–117, 2020.</w:t>
            </w:r>
          </w:p>
          <w:p>
            <w:pPr>
              <w:spacing w:after="120" w:before="0" w:line="276" w:lineRule="auto"/>
              <w:jc w:val="both"/>
            </w:pPr>
            <w:r>
              <w:rPr>
                <w:rFonts w:ascii="Times New Roman" w:hAnsi="Times New Roman"/>
                <w:b w:val="0"/>
                <w:sz w:val="24"/>
              </w:rPr>
              <w:t>[3] R. Patel, S. Varma, and M. Dave, 'Smart Water Management with LoRaWAN and MQTT,' IEEE Internet of Things Journal, vol. 8, no. 14, pp. 11420–11431, 2021.</w:t>
            </w:r>
          </w:p>
          <w:p>
            <w:pPr>
              <w:spacing w:after="120" w:before="0" w:line="276" w:lineRule="auto"/>
              <w:jc w:val="both"/>
            </w:pPr>
            <w:r>
              <w:rPr>
                <w:rFonts w:ascii="Times New Roman" w:hAnsi="Times New Roman"/>
                <w:b w:val="0"/>
                <w:sz w:val="24"/>
              </w:rPr>
              <w:t>[4] X. Chen, Y. Liu, and H. Wang, 'LSTM-Based Urban Water Demand Forecasting Under Climate Uncertainty,' Water Resources Research, vol. 58, no. 4, e2021WR031200, 2022.</w:t>
            </w:r>
          </w:p>
          <w:p>
            <w:pPr>
              <w:spacing w:after="120" w:before="0" w:line="276" w:lineRule="auto"/>
              <w:jc w:val="both"/>
            </w:pPr>
            <w:r>
              <w:rPr>
                <w:rFonts w:ascii="Times New Roman" w:hAnsi="Times New Roman"/>
                <w:b w:val="0"/>
                <w:sz w:val="24"/>
              </w:rPr>
              <w:t>[5] P. Sharma, V. K. Gupta, and N. Kumar, 'Real-Time Water Level Monitoring Using ESP8266 and Cloud IoT,' IOSR Journal of Electronics and Communication Engineering, vol. 18, no. 2, pp. 45–52, 2023.</w:t>
            </w:r>
          </w:p>
          <w:p>
            <w:pPr>
              <w:spacing w:after="120" w:before="0" w:line="276" w:lineRule="auto"/>
              <w:jc w:val="both"/>
            </w:pPr>
            <w:r>
              <w:rPr>
                <w:rFonts w:ascii="Times New Roman" w:hAnsi="Times New Roman"/>
                <w:b w:val="0"/>
                <w:sz w:val="24"/>
              </w:rPr>
              <w:t>[6] M. Gonzalez, D. Martinez, and J. Lopez, 'InfluxDB and Grafana for Industrial IoT Monitoring: Architecture and Benchmarking,' in Proc. IEEE Industrial Electronics Conference (IECON), Singapore, 2023, pp. 1–6.</w:t>
            </w:r>
          </w:p>
          <w:p>
            <w:pPr>
              <w:spacing w:after="120" w:before="0" w:line="276" w:lineRule="auto"/>
              <w:jc w:val="both"/>
            </w:pPr>
            <w:r>
              <w:rPr>
                <w:rFonts w:ascii="Times New Roman" w:hAnsi="Times New Roman"/>
                <w:b w:val="0"/>
                <w:sz w:val="24"/>
              </w:rPr>
              <w:t>[7] Y. Zhao, L. Zhang, and T. Brown, 'Edge AI for Anomaly Detection in Smart Water Networks,' in Proc. ACM Conference on Embedded Networked Sensor Systems (SenSys), 2024, pp. 312–325.</w:t>
            </w:r>
          </w:p>
          <w:p>
            <w:pPr>
              <w:spacing w:after="120" w:before="0" w:line="276" w:lineRule="auto"/>
              <w:jc w:val="both"/>
            </w:pPr>
            <w:r>
              <w:rPr>
                <w:rFonts w:ascii="Times New Roman" w:hAnsi="Times New Roman"/>
                <w:b w:val="0"/>
                <w:sz w:val="24"/>
              </w:rPr>
              <w:t>[8] Eclipse Foundation, 'Eclipse Mosquitto MQTT Broker Specification,' Version 2.0, 2023. [Online]. Available: https://mosquitto.org/</w:t>
            </w:r>
          </w:p>
          <w:p>
            <w:pPr>
              <w:spacing w:after="120" w:before="0" w:line="276" w:lineRule="auto"/>
              <w:jc w:val="both"/>
            </w:pPr>
            <w:r>
              <w:rPr>
                <w:rFonts w:ascii="Times New Roman" w:hAnsi="Times New Roman"/>
                <w:b w:val="0"/>
                <w:sz w:val="24"/>
              </w:rPr>
              <w:t>[9] InfluxData Inc., 'InfluxDB 2.7 Documentation and Flux Query Language Reference,' 2024. [Online]. Available: https://docs.influxdata.com/influxdb/v2.7/</w:t>
            </w:r>
          </w:p>
          <w:p>
            <w:pPr>
              <w:spacing w:after="120" w:before="0" w:line="276" w:lineRule="auto"/>
              <w:jc w:val="both"/>
            </w:pPr>
            <w:r>
              <w:rPr>
                <w:rFonts w:ascii="Times New Roman" w:hAnsi="Times New Roman"/>
                <w:b w:val="0"/>
                <w:sz w:val="24"/>
              </w:rPr>
              <w:t>[10] Grafana Labs, 'Grafana 11.4 Provisioning and Dashboard Schema Documentation,' 2024. [Online]. Available: https://grafana.com/docs/grafana/latest/</w:t>
            </w:r>
          </w:p>
          <w:p>
            <w:pPr>
              <w:spacing w:after="120" w:before="0" w:line="276" w:lineRule="auto"/>
              <w:jc w:val="both"/>
            </w:pPr>
            <w:r>
              <w:rPr>
                <w:rFonts w:ascii="Times New Roman" w:hAnsi="Times New Roman"/>
                <w:b w:val="0"/>
                <w:sz w:val="24"/>
              </w:rPr>
              <w:t>[11] S. Ramirez, 'FastAPI: Modern, High-Performance Web Framework for Python,' Version 0.115, 2024. [Online]. Available: https://fastapi.tiangolo.com/</w:t>
            </w:r>
          </w:p>
          <w:p>
            <w:pPr>
              <w:spacing w:after="120" w:before="0" w:line="276" w:lineRule="auto"/>
              <w:jc w:val="both"/>
            </w:pPr>
            <w:r>
              <w:rPr>
                <w:rFonts w:ascii="Times New Roman" w:hAnsi="Times New Roman"/>
                <w:b w:val="0"/>
                <w:sz w:val="24"/>
              </w:rPr>
              <w:t>[12] Espressif Systems, 'ESP32 Series Datasheet and Hardware Technical Reference Manual,' Version 5.0, 2023.</w:t>
            </w:r>
          </w:p>
          <w:p>
            <w:pPr>
              <w:spacing w:after="120" w:before="0" w:line="276" w:lineRule="auto"/>
              <w:jc w:val="both"/>
            </w:pPr>
            <w:r>
              <w:rPr>
                <w:rFonts w:ascii="Times New Roman" w:hAnsi="Times New Roman"/>
                <w:b w:val="0"/>
                <w:sz w:val="24"/>
              </w:rPr>
              <w:t>[13] United Nations World Water Assessment Programme, 'The United Nations World Water Development Report 2023: Partnerships and Cooperation for Water,' UNESCO, Paris, 2023.</w:t>
            </w:r>
          </w:p>
          <w:p>
            <w:pPr>
              <w:spacing w:after="120" w:before="0" w:line="276" w:lineRule="auto"/>
              <w:jc w:val="both"/>
            </w:pPr>
            <w:r>
              <w:rPr>
                <w:rFonts w:ascii="Times New Roman" w:hAnsi="Times New Roman"/>
                <w:b w:val="0"/>
                <w:sz w:val="24"/>
              </w:rPr>
              <w:t>[14] Docker Inc., 'Docker Compose Specification and Multi-Container Orchestration Reference,' 2024. [Online]. Available: https://docs.docker.com/compose/</w:t>
            </w:r>
          </w:p>
          <w:p>
            <w:pPr>
              <w:spacing w:after="120" w:before="0" w:line="276" w:lineRule="auto"/>
              <w:jc w:val="both"/>
            </w:pPr>
            <w:r>
              <w:rPr>
                <w:rFonts w:ascii="Times New Roman" w:hAnsi="Times New Roman"/>
                <w:b w:val="0"/>
                <w:sz w:val="24"/>
              </w:rPr>
              <w:t>[15] Eclipse Paho, 'Eclipse Paho MQTT Python Client Documentation,' Version 2.1, 2024. [Online]. Available: https://www.eclipse.org/paho/</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