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A0A409" w14:textId="77777777" w:rsidR="003767B5" w:rsidRPr="003767B5" w:rsidRDefault="003767B5" w:rsidP="003767B5">
      <w:pPr>
        <w:rPr>
          <w:b/>
          <w:bCs/>
        </w:rPr>
      </w:pPr>
      <w:r w:rsidRPr="003767B5">
        <w:rPr>
          <w:b/>
          <w:bCs/>
        </w:rPr>
        <w:t>Fairness Metrics Report</w:t>
      </w:r>
    </w:p>
    <w:p w14:paraId="32C1DB0A" w14:textId="77777777" w:rsidR="003767B5" w:rsidRPr="003767B5" w:rsidRDefault="003767B5" w:rsidP="003767B5">
      <w:r w:rsidRPr="003767B5">
        <w:rPr>
          <w:b/>
          <w:bCs/>
        </w:rPr>
        <w:t>UPTH Outpatient Appointment No-Show Prediction</w:t>
      </w:r>
    </w:p>
    <w:p w14:paraId="51FCEC71"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1. Purpose of the Fairness Assessment</w:t>
      </w:r>
    </w:p>
    <w:p w14:paraId="6F0794C6"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I conducted a fairness assessment to examine whether the tuned Random Forest model produced different prediction patterns across demographic groups. This was important because the model is intended to support outpatient appointment management, and its predictions should not create unfair disadvantages for particular groups of patients.</w:t>
      </w:r>
    </w:p>
    <w:p w14:paraId="10E35516"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I assessed gender and age because they are important demographic characteristics in the dataset. The assessment focused on demographic parity, disparate impact, true positive rate (TPR), false positive rate (FPR), and differences in predicted no-show rates.</w:t>
      </w:r>
    </w:p>
    <w:p w14:paraId="7C43E8DB"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2. Gender Fairness Assessment</w:t>
      </w:r>
    </w:p>
    <w:p w14:paraId="54491EC8"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The gender analysis showed some differences between female and male patients.</w:t>
      </w:r>
    </w:p>
    <w:p w14:paraId="142EB700"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Table 1</w:t>
      </w:r>
    </w:p>
    <w:p w14:paraId="5F2F3465"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i/>
          <w:iCs/>
        </w:rPr>
        <w:t>Gender Fairness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134"/>
        <w:gridCol w:w="1701"/>
        <w:gridCol w:w="1134"/>
        <w:gridCol w:w="735"/>
      </w:tblGrid>
      <w:tr w:rsidR="003767B5" w:rsidRPr="003767B5" w14:paraId="14416841" w14:textId="77777777" w:rsidTr="003767B5">
        <w:trPr>
          <w:tblHeader/>
          <w:tblCellSpacing w:w="15" w:type="dxa"/>
        </w:trPr>
        <w:tc>
          <w:tcPr>
            <w:tcW w:w="1373" w:type="dxa"/>
            <w:vAlign w:val="center"/>
            <w:hideMark/>
          </w:tcPr>
          <w:p w14:paraId="30F9E5C7"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Gender</w:t>
            </w:r>
          </w:p>
        </w:tc>
        <w:tc>
          <w:tcPr>
            <w:tcW w:w="1104" w:type="dxa"/>
            <w:vAlign w:val="center"/>
            <w:hideMark/>
          </w:tcPr>
          <w:p w14:paraId="7DF0CA06"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Records</w:t>
            </w:r>
          </w:p>
        </w:tc>
        <w:tc>
          <w:tcPr>
            <w:tcW w:w="1671" w:type="dxa"/>
            <w:vAlign w:val="center"/>
            <w:hideMark/>
          </w:tcPr>
          <w:p w14:paraId="19833401"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Selection Rate</w:t>
            </w:r>
          </w:p>
        </w:tc>
        <w:tc>
          <w:tcPr>
            <w:tcW w:w="1104" w:type="dxa"/>
            <w:vAlign w:val="center"/>
            <w:hideMark/>
          </w:tcPr>
          <w:p w14:paraId="596ECC86"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TPR</w:t>
            </w:r>
          </w:p>
        </w:tc>
        <w:tc>
          <w:tcPr>
            <w:tcW w:w="0" w:type="auto"/>
            <w:vAlign w:val="center"/>
            <w:hideMark/>
          </w:tcPr>
          <w:p w14:paraId="0AA9196F"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FPR</w:t>
            </w:r>
          </w:p>
        </w:tc>
      </w:tr>
      <w:tr w:rsidR="003767B5" w:rsidRPr="003767B5" w14:paraId="4CBC8103" w14:textId="77777777" w:rsidTr="003767B5">
        <w:trPr>
          <w:tblCellSpacing w:w="15" w:type="dxa"/>
        </w:trPr>
        <w:tc>
          <w:tcPr>
            <w:tcW w:w="1373" w:type="dxa"/>
            <w:vAlign w:val="center"/>
            <w:hideMark/>
          </w:tcPr>
          <w:p w14:paraId="2C49508B"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Female</w:t>
            </w:r>
          </w:p>
        </w:tc>
        <w:tc>
          <w:tcPr>
            <w:tcW w:w="1104" w:type="dxa"/>
            <w:vAlign w:val="center"/>
            <w:hideMark/>
          </w:tcPr>
          <w:p w14:paraId="13A3B08D"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14,273</w:t>
            </w:r>
          </w:p>
        </w:tc>
        <w:tc>
          <w:tcPr>
            <w:tcW w:w="1671" w:type="dxa"/>
            <w:vAlign w:val="center"/>
            <w:hideMark/>
          </w:tcPr>
          <w:p w14:paraId="09B8D2B7"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0.4361</w:t>
            </w:r>
          </w:p>
        </w:tc>
        <w:tc>
          <w:tcPr>
            <w:tcW w:w="1104" w:type="dxa"/>
            <w:vAlign w:val="center"/>
            <w:hideMark/>
          </w:tcPr>
          <w:p w14:paraId="12786085"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0.7103</w:t>
            </w:r>
          </w:p>
        </w:tc>
        <w:tc>
          <w:tcPr>
            <w:tcW w:w="0" w:type="auto"/>
            <w:vAlign w:val="center"/>
            <w:hideMark/>
          </w:tcPr>
          <w:p w14:paraId="2F1B7DF9"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0.3670</w:t>
            </w:r>
          </w:p>
        </w:tc>
      </w:tr>
      <w:tr w:rsidR="003767B5" w:rsidRPr="003767B5" w14:paraId="2BEC552F" w14:textId="77777777" w:rsidTr="003767B5">
        <w:trPr>
          <w:tblCellSpacing w:w="15" w:type="dxa"/>
        </w:trPr>
        <w:tc>
          <w:tcPr>
            <w:tcW w:w="1373" w:type="dxa"/>
            <w:vAlign w:val="center"/>
            <w:hideMark/>
          </w:tcPr>
          <w:p w14:paraId="76AE3BD5"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Male</w:t>
            </w:r>
          </w:p>
        </w:tc>
        <w:tc>
          <w:tcPr>
            <w:tcW w:w="1104" w:type="dxa"/>
            <w:vAlign w:val="center"/>
            <w:hideMark/>
          </w:tcPr>
          <w:p w14:paraId="153A623A"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7,832</w:t>
            </w:r>
          </w:p>
        </w:tc>
        <w:tc>
          <w:tcPr>
            <w:tcW w:w="1671" w:type="dxa"/>
            <w:vAlign w:val="center"/>
            <w:hideMark/>
          </w:tcPr>
          <w:p w14:paraId="7BD70AAE"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0.3878</w:t>
            </w:r>
          </w:p>
        </w:tc>
        <w:tc>
          <w:tcPr>
            <w:tcW w:w="1104" w:type="dxa"/>
            <w:vAlign w:val="center"/>
            <w:hideMark/>
          </w:tcPr>
          <w:p w14:paraId="03C1BD96"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0.6512</w:t>
            </w:r>
          </w:p>
        </w:tc>
        <w:tc>
          <w:tcPr>
            <w:tcW w:w="0" w:type="auto"/>
            <w:vAlign w:val="center"/>
            <w:hideMark/>
          </w:tcPr>
          <w:p w14:paraId="3A92C715"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0.3206</w:t>
            </w:r>
          </w:p>
        </w:tc>
      </w:tr>
    </w:tbl>
    <w:p w14:paraId="248CBCC6"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The overall demographic parity difference was 0.0483, while the disparate impact ratio was 0.8892. The difference in TPR was 0.0591, and the difference in FPR was 0.0464.</w:t>
      </w:r>
    </w:p>
    <w:p w14:paraId="4632C375"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lastRenderedPageBreak/>
        <w:t>These results show that the model did not produce identical prediction rates for female and male patients. Therefore, gender-related performance should continue to be monitored rather than assuming that the model is equally fair across both groups.</w:t>
      </w:r>
    </w:p>
    <w:p w14:paraId="24813CF1"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3. Age-Group Fairness Assessment</w:t>
      </w:r>
    </w:p>
    <w:p w14:paraId="0D0BB07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The age analysis showed larger differences in predicted no-show rates.</w:t>
      </w:r>
    </w:p>
    <w:p w14:paraId="147C65B9"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Table 2</w:t>
      </w:r>
    </w:p>
    <w:p w14:paraId="0357240E"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i/>
          <w:iCs/>
        </w:rPr>
        <w:t>Age-Group Fairness Before and After Mitigation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1276"/>
        <w:gridCol w:w="2551"/>
        <w:gridCol w:w="2268"/>
        <w:gridCol w:w="1757"/>
      </w:tblGrid>
      <w:tr w:rsidR="003767B5" w:rsidRPr="003767B5" w14:paraId="7388555A" w14:textId="77777777" w:rsidTr="003767B5">
        <w:trPr>
          <w:tblHeader/>
          <w:tblCellSpacing w:w="15" w:type="dxa"/>
        </w:trPr>
        <w:tc>
          <w:tcPr>
            <w:tcW w:w="1373" w:type="dxa"/>
            <w:vAlign w:val="center"/>
            <w:hideMark/>
          </w:tcPr>
          <w:p w14:paraId="410EE941"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Age Group</w:t>
            </w:r>
          </w:p>
        </w:tc>
        <w:tc>
          <w:tcPr>
            <w:tcW w:w="1246" w:type="dxa"/>
            <w:vAlign w:val="center"/>
            <w:hideMark/>
          </w:tcPr>
          <w:p w14:paraId="741736FB"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Records</w:t>
            </w:r>
          </w:p>
        </w:tc>
        <w:tc>
          <w:tcPr>
            <w:tcW w:w="2521" w:type="dxa"/>
            <w:vAlign w:val="center"/>
            <w:hideMark/>
          </w:tcPr>
          <w:p w14:paraId="39A52941"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Actual No-show Rate</w:t>
            </w:r>
          </w:p>
        </w:tc>
        <w:tc>
          <w:tcPr>
            <w:tcW w:w="2238" w:type="dxa"/>
            <w:vAlign w:val="center"/>
            <w:hideMark/>
          </w:tcPr>
          <w:p w14:paraId="102C7603"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Before Mitigation</w:t>
            </w:r>
          </w:p>
        </w:tc>
        <w:tc>
          <w:tcPr>
            <w:tcW w:w="0" w:type="auto"/>
            <w:vAlign w:val="center"/>
            <w:hideMark/>
          </w:tcPr>
          <w:p w14:paraId="14B80AF0"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After Mitigation</w:t>
            </w:r>
          </w:p>
        </w:tc>
      </w:tr>
      <w:tr w:rsidR="003767B5" w:rsidRPr="003767B5" w14:paraId="51676581" w14:textId="77777777" w:rsidTr="003767B5">
        <w:trPr>
          <w:tblCellSpacing w:w="15" w:type="dxa"/>
        </w:trPr>
        <w:tc>
          <w:tcPr>
            <w:tcW w:w="1373" w:type="dxa"/>
            <w:vAlign w:val="center"/>
            <w:hideMark/>
          </w:tcPr>
          <w:p w14:paraId="503F586D"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0–17</w:t>
            </w:r>
          </w:p>
        </w:tc>
        <w:tc>
          <w:tcPr>
            <w:tcW w:w="1246" w:type="dxa"/>
            <w:vAlign w:val="center"/>
            <w:hideMark/>
          </w:tcPr>
          <w:p w14:paraId="29303BD2"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5,520</w:t>
            </w:r>
          </w:p>
        </w:tc>
        <w:tc>
          <w:tcPr>
            <w:tcW w:w="2521" w:type="dxa"/>
            <w:vAlign w:val="center"/>
            <w:hideMark/>
          </w:tcPr>
          <w:p w14:paraId="3A73A22F"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0.2136</w:t>
            </w:r>
          </w:p>
        </w:tc>
        <w:tc>
          <w:tcPr>
            <w:tcW w:w="2238" w:type="dxa"/>
            <w:vAlign w:val="center"/>
            <w:hideMark/>
          </w:tcPr>
          <w:p w14:paraId="0121B613"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0.5290</w:t>
            </w:r>
          </w:p>
        </w:tc>
        <w:tc>
          <w:tcPr>
            <w:tcW w:w="0" w:type="auto"/>
            <w:vAlign w:val="center"/>
            <w:hideMark/>
          </w:tcPr>
          <w:p w14:paraId="0552B7F2"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0.4906</w:t>
            </w:r>
          </w:p>
        </w:tc>
      </w:tr>
      <w:tr w:rsidR="003767B5" w:rsidRPr="003767B5" w14:paraId="1EBE56B5" w14:textId="77777777" w:rsidTr="003767B5">
        <w:trPr>
          <w:tblCellSpacing w:w="15" w:type="dxa"/>
        </w:trPr>
        <w:tc>
          <w:tcPr>
            <w:tcW w:w="1373" w:type="dxa"/>
            <w:vAlign w:val="center"/>
            <w:hideMark/>
          </w:tcPr>
          <w:p w14:paraId="06ADD9BF"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18–34</w:t>
            </w:r>
          </w:p>
        </w:tc>
        <w:tc>
          <w:tcPr>
            <w:tcW w:w="1246" w:type="dxa"/>
            <w:vAlign w:val="center"/>
            <w:hideMark/>
          </w:tcPr>
          <w:p w14:paraId="56871A6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4,850</w:t>
            </w:r>
          </w:p>
        </w:tc>
        <w:tc>
          <w:tcPr>
            <w:tcW w:w="2521" w:type="dxa"/>
            <w:vAlign w:val="center"/>
            <w:hideMark/>
          </w:tcPr>
          <w:p w14:paraId="180BB23D"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0.2365</w:t>
            </w:r>
          </w:p>
        </w:tc>
        <w:tc>
          <w:tcPr>
            <w:tcW w:w="2238" w:type="dxa"/>
            <w:vAlign w:val="center"/>
            <w:hideMark/>
          </w:tcPr>
          <w:p w14:paraId="13C18E14"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0.5990</w:t>
            </w:r>
          </w:p>
        </w:tc>
        <w:tc>
          <w:tcPr>
            <w:tcW w:w="0" w:type="auto"/>
            <w:vAlign w:val="center"/>
            <w:hideMark/>
          </w:tcPr>
          <w:p w14:paraId="0374466C"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0.5348</w:t>
            </w:r>
          </w:p>
        </w:tc>
      </w:tr>
      <w:tr w:rsidR="003767B5" w:rsidRPr="003767B5" w14:paraId="3B06D660" w14:textId="77777777" w:rsidTr="003767B5">
        <w:trPr>
          <w:tblCellSpacing w:w="15" w:type="dxa"/>
        </w:trPr>
        <w:tc>
          <w:tcPr>
            <w:tcW w:w="1373" w:type="dxa"/>
            <w:vAlign w:val="center"/>
            <w:hideMark/>
          </w:tcPr>
          <w:p w14:paraId="07111D72"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35–49</w:t>
            </w:r>
          </w:p>
        </w:tc>
        <w:tc>
          <w:tcPr>
            <w:tcW w:w="1246" w:type="dxa"/>
            <w:vAlign w:val="center"/>
            <w:hideMark/>
          </w:tcPr>
          <w:p w14:paraId="36A36107"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4,306</w:t>
            </w:r>
          </w:p>
        </w:tc>
        <w:tc>
          <w:tcPr>
            <w:tcW w:w="2521" w:type="dxa"/>
            <w:vAlign w:val="center"/>
            <w:hideMark/>
          </w:tcPr>
          <w:p w14:paraId="34CE0F61"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0.2095</w:t>
            </w:r>
          </w:p>
        </w:tc>
        <w:tc>
          <w:tcPr>
            <w:tcW w:w="2238" w:type="dxa"/>
            <w:vAlign w:val="center"/>
            <w:hideMark/>
          </w:tcPr>
          <w:p w14:paraId="6030BACD"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0.5035</w:t>
            </w:r>
          </w:p>
        </w:tc>
        <w:tc>
          <w:tcPr>
            <w:tcW w:w="0" w:type="auto"/>
            <w:vAlign w:val="center"/>
            <w:hideMark/>
          </w:tcPr>
          <w:p w14:paraId="487B3E03"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0.4984</w:t>
            </w:r>
          </w:p>
        </w:tc>
      </w:tr>
      <w:tr w:rsidR="003767B5" w:rsidRPr="003767B5" w14:paraId="56426876" w14:textId="77777777" w:rsidTr="003767B5">
        <w:trPr>
          <w:tblCellSpacing w:w="15" w:type="dxa"/>
        </w:trPr>
        <w:tc>
          <w:tcPr>
            <w:tcW w:w="1373" w:type="dxa"/>
            <w:vAlign w:val="center"/>
            <w:hideMark/>
          </w:tcPr>
          <w:p w14:paraId="105B003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50–64</w:t>
            </w:r>
          </w:p>
        </w:tc>
        <w:tc>
          <w:tcPr>
            <w:tcW w:w="1246" w:type="dxa"/>
            <w:vAlign w:val="center"/>
            <w:hideMark/>
          </w:tcPr>
          <w:p w14:paraId="0E22E6B7"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4,511</w:t>
            </w:r>
          </w:p>
        </w:tc>
        <w:tc>
          <w:tcPr>
            <w:tcW w:w="2521" w:type="dxa"/>
            <w:vAlign w:val="center"/>
            <w:hideMark/>
          </w:tcPr>
          <w:p w14:paraId="6BF9B393"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0.1738</w:t>
            </w:r>
          </w:p>
        </w:tc>
        <w:tc>
          <w:tcPr>
            <w:tcW w:w="2238" w:type="dxa"/>
            <w:vAlign w:val="center"/>
            <w:hideMark/>
          </w:tcPr>
          <w:p w14:paraId="656AF7F9"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0.2031</w:t>
            </w:r>
          </w:p>
        </w:tc>
        <w:tc>
          <w:tcPr>
            <w:tcW w:w="0" w:type="auto"/>
            <w:vAlign w:val="center"/>
            <w:hideMark/>
          </w:tcPr>
          <w:p w14:paraId="53B8091C"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0.4205</w:t>
            </w:r>
          </w:p>
        </w:tc>
      </w:tr>
      <w:tr w:rsidR="003767B5" w:rsidRPr="003767B5" w14:paraId="710D51E2" w14:textId="77777777" w:rsidTr="003767B5">
        <w:trPr>
          <w:tblCellSpacing w:w="15" w:type="dxa"/>
        </w:trPr>
        <w:tc>
          <w:tcPr>
            <w:tcW w:w="1373" w:type="dxa"/>
            <w:vAlign w:val="center"/>
            <w:hideMark/>
          </w:tcPr>
          <w:p w14:paraId="4CAE6948"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65+</w:t>
            </w:r>
          </w:p>
        </w:tc>
        <w:tc>
          <w:tcPr>
            <w:tcW w:w="1246" w:type="dxa"/>
            <w:vAlign w:val="center"/>
            <w:hideMark/>
          </w:tcPr>
          <w:p w14:paraId="5A09D701"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2,918</w:t>
            </w:r>
          </w:p>
        </w:tc>
        <w:tc>
          <w:tcPr>
            <w:tcW w:w="2521" w:type="dxa"/>
            <w:vAlign w:val="center"/>
            <w:hideMark/>
          </w:tcPr>
          <w:p w14:paraId="468A382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0.1546</w:t>
            </w:r>
          </w:p>
        </w:tc>
        <w:tc>
          <w:tcPr>
            <w:tcW w:w="2238" w:type="dxa"/>
            <w:vAlign w:val="center"/>
            <w:hideMark/>
          </w:tcPr>
          <w:p w14:paraId="3F97F9A5"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0.1206</w:t>
            </w:r>
          </w:p>
        </w:tc>
        <w:tc>
          <w:tcPr>
            <w:tcW w:w="0" w:type="auto"/>
            <w:vAlign w:val="center"/>
            <w:hideMark/>
          </w:tcPr>
          <w:p w14:paraId="4450F67F"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0.3588</w:t>
            </w:r>
          </w:p>
        </w:tc>
      </w:tr>
    </w:tbl>
    <w:p w14:paraId="270B2C96"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Before mitigation, the 18–34 age group had the highest predicted no-show rate at 0.5990, while the 65+ group had the lowest at 0.1206. This difference was much larger than the difference in their actual no-show rates, indicating that age was strongly influencing the model's predictions.</w:t>
      </w:r>
    </w:p>
    <w:p w14:paraId="72BA361B"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4. Bias Mitigation</w:t>
      </w:r>
    </w:p>
    <w:p w14:paraId="6CBA8BD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To investigate the age-related differences, I tested a mitigation approach by removing Age as a predictor and retraining the Random Forest model.</w:t>
      </w:r>
    </w:p>
    <w:p w14:paraId="4B929AE1"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lastRenderedPageBreak/>
        <w:t>After mitigation, the predicted no-show rate decreased for younger groups and increased for older groups. For example, the predicted rate for patients aged 18–34 decreased from 0.5990 to 0.5348, while the rate for patients aged 65+ increased from 0.1206 to 0.3588.</w:t>
      </w:r>
    </w:p>
    <w:p w14:paraId="524C8E5E"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However, removing Age did not completely eliminate differences between age groups. This suggests that other variables may contain information associated with age and that simply removing a protected characteristic does not guarantee a fair model.</w:t>
      </w:r>
    </w:p>
    <w:p w14:paraId="5DFE83D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There was also a performance trade-off. ROC-AUC decreased from 0.7383 to 0.7261, while no-show recall increased from 0.6892 to 0.7336. F1-score decreased slightly from 0.4483 to 0.4408.</w:t>
      </w:r>
    </w:p>
    <w:p w14:paraId="0813B056" w14:textId="77777777" w:rsidR="003767B5" w:rsidRPr="003767B5" w:rsidRDefault="003767B5" w:rsidP="003767B5">
      <w:pPr>
        <w:spacing w:line="480" w:lineRule="auto"/>
        <w:rPr>
          <w:rFonts w:ascii="Times New Roman" w:hAnsi="Times New Roman" w:cs="Times New Roman"/>
          <w:b/>
          <w:bCs/>
        </w:rPr>
      </w:pPr>
      <w:r w:rsidRPr="003767B5">
        <w:rPr>
          <w:rFonts w:ascii="Times New Roman" w:hAnsi="Times New Roman" w:cs="Times New Roman"/>
          <w:b/>
          <w:bCs/>
        </w:rPr>
        <w:t>5. Fairness Conclusion and Monitoring</w:t>
      </w:r>
    </w:p>
    <w:p w14:paraId="76608AB0"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The fairness assessment showed that demographic differences remained in the model, particularly across age groups. The mitigation experiment reduced some differences but did not remove them completely.</w:t>
      </w:r>
    </w:p>
    <w:p w14:paraId="70B56BA9"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For this reason, I would not use the model to automatically cancel appointments or deny patients access to healthcare. Predictions should instead support low-risk interventions such as reminders and administrative follow-up, with human oversight.</w:t>
      </w:r>
    </w:p>
    <w:p w14:paraId="7AF0179F" w14:textId="77777777" w:rsidR="003767B5" w:rsidRPr="003767B5" w:rsidRDefault="003767B5" w:rsidP="003767B5">
      <w:pPr>
        <w:spacing w:line="480" w:lineRule="auto"/>
        <w:rPr>
          <w:rFonts w:ascii="Times New Roman" w:hAnsi="Times New Roman" w:cs="Times New Roman"/>
        </w:rPr>
      </w:pPr>
      <w:r w:rsidRPr="003767B5">
        <w:rPr>
          <w:rFonts w:ascii="Times New Roman" w:hAnsi="Times New Roman" w:cs="Times New Roman"/>
        </w:rPr>
        <w:t>If the model is deployed in the future, I would reassess demographic parity, disparate impact, TPR, FPR, and age-group prediction patterns regularly and after retraining. Any substantial deterioration in fairness should trigger further investigation before a new model version is approved.</w:t>
      </w:r>
    </w:p>
    <w:p w14:paraId="660F437B" w14:textId="77777777" w:rsidR="006C48DF" w:rsidRPr="003767B5" w:rsidRDefault="006C48DF" w:rsidP="003767B5">
      <w:pPr>
        <w:spacing w:line="480" w:lineRule="auto"/>
        <w:rPr>
          <w:rFonts w:ascii="Times New Roman" w:hAnsi="Times New Roman" w:cs="Times New Roman"/>
        </w:rPr>
      </w:pPr>
    </w:p>
    <w:sectPr w:rsidR="006C48DF" w:rsidRPr="003767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7B5"/>
    <w:rsid w:val="000F1B39"/>
    <w:rsid w:val="0011504A"/>
    <w:rsid w:val="001C0740"/>
    <w:rsid w:val="00302273"/>
    <w:rsid w:val="003767B5"/>
    <w:rsid w:val="006C48DF"/>
    <w:rsid w:val="00A5794B"/>
    <w:rsid w:val="00AC0AF4"/>
    <w:rsid w:val="00CF2A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291F5"/>
  <w15:chartTrackingRefBased/>
  <w15:docId w15:val="{B9CA76FC-93A1-41FB-9F22-B055F75C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7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67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67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67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67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67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7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7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7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7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67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67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67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67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67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7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7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7B5"/>
    <w:rPr>
      <w:rFonts w:eastAsiaTheme="majorEastAsia" w:cstheme="majorBidi"/>
      <w:color w:val="272727" w:themeColor="text1" w:themeTint="D8"/>
    </w:rPr>
  </w:style>
  <w:style w:type="paragraph" w:styleId="Title">
    <w:name w:val="Title"/>
    <w:basedOn w:val="Normal"/>
    <w:next w:val="Normal"/>
    <w:link w:val="TitleChar"/>
    <w:uiPriority w:val="10"/>
    <w:qFormat/>
    <w:rsid w:val="003767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7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7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7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7B5"/>
    <w:pPr>
      <w:spacing w:before="160"/>
      <w:jc w:val="center"/>
    </w:pPr>
    <w:rPr>
      <w:i/>
      <w:iCs/>
      <w:color w:val="404040" w:themeColor="text1" w:themeTint="BF"/>
    </w:rPr>
  </w:style>
  <w:style w:type="character" w:customStyle="1" w:styleId="QuoteChar">
    <w:name w:val="Quote Char"/>
    <w:basedOn w:val="DefaultParagraphFont"/>
    <w:link w:val="Quote"/>
    <w:uiPriority w:val="29"/>
    <w:rsid w:val="003767B5"/>
    <w:rPr>
      <w:i/>
      <w:iCs/>
      <w:color w:val="404040" w:themeColor="text1" w:themeTint="BF"/>
    </w:rPr>
  </w:style>
  <w:style w:type="paragraph" w:styleId="ListParagraph">
    <w:name w:val="List Paragraph"/>
    <w:basedOn w:val="Normal"/>
    <w:uiPriority w:val="34"/>
    <w:qFormat/>
    <w:rsid w:val="003767B5"/>
    <w:pPr>
      <w:ind w:left="720"/>
      <w:contextualSpacing/>
    </w:pPr>
  </w:style>
  <w:style w:type="character" w:styleId="IntenseEmphasis">
    <w:name w:val="Intense Emphasis"/>
    <w:basedOn w:val="DefaultParagraphFont"/>
    <w:uiPriority w:val="21"/>
    <w:qFormat/>
    <w:rsid w:val="003767B5"/>
    <w:rPr>
      <w:i/>
      <w:iCs/>
      <w:color w:val="2F5496" w:themeColor="accent1" w:themeShade="BF"/>
    </w:rPr>
  </w:style>
  <w:style w:type="paragraph" w:styleId="IntenseQuote">
    <w:name w:val="Intense Quote"/>
    <w:basedOn w:val="Normal"/>
    <w:next w:val="Normal"/>
    <w:link w:val="IntenseQuoteChar"/>
    <w:uiPriority w:val="30"/>
    <w:qFormat/>
    <w:rsid w:val="003767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67B5"/>
    <w:rPr>
      <w:i/>
      <w:iCs/>
      <w:color w:val="2F5496" w:themeColor="accent1" w:themeShade="BF"/>
    </w:rPr>
  </w:style>
  <w:style w:type="character" w:styleId="IntenseReference">
    <w:name w:val="Intense Reference"/>
    <w:basedOn w:val="DefaultParagraphFont"/>
    <w:uiPriority w:val="32"/>
    <w:qFormat/>
    <w:rsid w:val="003767B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Pages>
  <Words>552</Words>
  <Characters>3150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trinitas iwunze</dc:creator>
  <cp:keywords/>
  <dc:description/>
  <cp:lastModifiedBy>trinitas iwunze</cp:lastModifiedBy>
  <cp:revision>1</cp:revision>
  <dcterms:created xsi:type="dcterms:W3CDTF">2026-09-21T12:26:00Z</dcterms:created>
  <dcterms:modified xsi:type="dcterms:W3CDTF">2026-09-21T14:25:00Z</dcterms:modified>
</cp:coreProperties>
</file>