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Mariusz Kępa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53672_202181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Bit Solutions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2021-08-01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Los Angeles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2021-07-30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USA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X - KOM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Kamil Błaszczak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111-222-333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111-111-111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fsdfsd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132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231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30492.0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123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 xml:space="preserve">37505.159999999996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67997.16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LibreOffice/6.4.6.2$Linux_X86_64 LibreOffice_project/40$Build-2</Application>
  <Pages>1</Pages>
  <Words>45</Words>
  <Characters>366</Characters>
  <CharactersWithSpaces>377</CharactersWithSpaces>
  <Paragraphs>40</Paragraphs>
  <Company>www.xt810.com</Compan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2019-04-19T02:09:00Z</dcterms:created>
  <dc:creator>Jack Du</dc:creator>
  <dc:language>pl-PL</dc:language>
  <lastPrinted>2019-04-19T03:24:00Z</lastPrinted>
  <dcterms:modified xsi:type="dcterms:W3CDTF">2021-08-02T23:04:21Z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