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433" w:rsidRDefault="00C46433" w:rsidP="00C46433"/>
    <w:p w:rsidR="00C46433" w:rsidRDefault="00C46433" w:rsidP="00C46433">
      <w:r>
        <w:object w:dxaOrig="15161" w:dyaOrig="11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pt;height:430.5pt" o:ole="">
            <v:imagedata r:id="rId4" o:title=""/>
          </v:shape>
          <o:OLEObject Type="Embed" ProgID="Visio.Drawing.15" ShapeID="_x0000_i1025" DrawAspect="Content" ObjectID="_1617804953" r:id="rId5"/>
        </w:object>
      </w:r>
      <w:r>
        <w:br w:type="page"/>
      </w:r>
    </w:p>
    <w:p w:rsidR="00C46433" w:rsidRDefault="00C46433" w:rsidP="00C46433">
      <w:pPr>
        <w:ind w:left="0"/>
        <w:sectPr w:rsidR="00C46433" w:rsidSect="00391EF9">
          <w:pgSz w:w="15840" w:h="12240" w:orient="landscape"/>
          <w:pgMar w:top="1440" w:right="1440" w:bottom="1440" w:left="1440" w:header="720" w:footer="720" w:gutter="0"/>
          <w:cols w:space="720"/>
          <w:docGrid w:linePitch="360"/>
        </w:sectPr>
      </w:pPr>
    </w:p>
    <w:tbl>
      <w:tblPr>
        <w:tblStyle w:val="TableGrid1"/>
        <w:tblW w:w="9815" w:type="dxa"/>
        <w:tblLook w:val="04A0" w:firstRow="1" w:lastRow="0" w:firstColumn="1" w:lastColumn="0" w:noHBand="0" w:noVBand="1"/>
      </w:tblPr>
      <w:tblGrid>
        <w:gridCol w:w="1256"/>
        <w:gridCol w:w="2388"/>
        <w:gridCol w:w="6171"/>
      </w:tblGrid>
      <w:tr w:rsidR="00C46433" w:rsidRPr="004F5522" w:rsidTr="007532BD">
        <w:tc>
          <w:tcPr>
            <w:tcW w:w="1256" w:type="dxa"/>
            <w:shd w:val="clear" w:color="auto" w:fill="A7B5EF"/>
          </w:tcPr>
          <w:p w:rsidR="00C46433" w:rsidRPr="004F5522" w:rsidRDefault="00C46433" w:rsidP="007532BD">
            <w:pPr>
              <w:ind w:left="0"/>
            </w:pPr>
            <w:r w:rsidRPr="004F5522">
              <w:lastRenderedPageBreak/>
              <w:t>7000</w:t>
            </w:r>
          </w:p>
        </w:tc>
        <w:tc>
          <w:tcPr>
            <w:tcW w:w="2388" w:type="dxa"/>
            <w:shd w:val="clear" w:color="auto" w:fill="A7B5EF"/>
          </w:tcPr>
          <w:p w:rsidR="00C46433" w:rsidRPr="004F5522" w:rsidRDefault="00C46433" w:rsidP="007532BD">
            <w:pPr>
              <w:ind w:left="0"/>
            </w:pPr>
            <w:r w:rsidRPr="004F5522">
              <w:t>Interface to Business Partner Data Sources for Verification</w:t>
            </w:r>
          </w:p>
        </w:tc>
        <w:tc>
          <w:tcPr>
            <w:tcW w:w="6171" w:type="dxa"/>
            <w:shd w:val="clear" w:color="auto" w:fill="A7B5EF"/>
          </w:tcPr>
          <w:p w:rsidR="00C46433" w:rsidRPr="004F5522" w:rsidRDefault="00C46433" w:rsidP="007532BD">
            <w:pPr>
              <w:ind w:left="0"/>
            </w:pPr>
          </w:p>
        </w:tc>
      </w:tr>
      <w:tr w:rsidR="00C46433" w:rsidRPr="004F5522" w:rsidTr="007532BD">
        <w:tc>
          <w:tcPr>
            <w:tcW w:w="1256" w:type="dxa"/>
          </w:tcPr>
          <w:p w:rsidR="00C46433" w:rsidRPr="004F5522" w:rsidRDefault="00C46433" w:rsidP="007532BD">
            <w:pPr>
              <w:ind w:left="0"/>
            </w:pPr>
            <w:r w:rsidRPr="004F5522">
              <w:t>7100</w:t>
            </w:r>
          </w:p>
        </w:tc>
        <w:tc>
          <w:tcPr>
            <w:tcW w:w="2388" w:type="dxa"/>
          </w:tcPr>
          <w:p w:rsidR="00C46433" w:rsidRPr="004F5522" w:rsidRDefault="00C46433" w:rsidP="007532BD">
            <w:pPr>
              <w:ind w:left="0"/>
            </w:pPr>
            <w:r w:rsidRPr="004F5522">
              <w:t xml:space="preserve">Interface to Vital Statistics </w:t>
            </w:r>
          </w:p>
        </w:tc>
        <w:tc>
          <w:tcPr>
            <w:tcW w:w="6171" w:type="dxa"/>
          </w:tcPr>
          <w:p w:rsidR="00C46433" w:rsidRPr="004F5522" w:rsidRDefault="00C46433" w:rsidP="007532BD">
            <w:pPr>
              <w:ind w:left="0"/>
            </w:pPr>
            <w:r w:rsidRPr="004F5522">
              <w:t>State or national vital statistics can provide notification of deaths.</w:t>
            </w:r>
          </w:p>
        </w:tc>
      </w:tr>
      <w:tr w:rsidR="00C46433" w:rsidRPr="004F5522" w:rsidTr="007532BD">
        <w:tc>
          <w:tcPr>
            <w:tcW w:w="1256" w:type="dxa"/>
          </w:tcPr>
          <w:p w:rsidR="00C46433" w:rsidRPr="004F5522" w:rsidRDefault="00C46433" w:rsidP="007532BD">
            <w:pPr>
              <w:ind w:left="0"/>
            </w:pPr>
            <w:r w:rsidRPr="004F5522">
              <w:t>7200</w:t>
            </w:r>
          </w:p>
        </w:tc>
        <w:tc>
          <w:tcPr>
            <w:tcW w:w="2388" w:type="dxa"/>
          </w:tcPr>
          <w:p w:rsidR="00C46433" w:rsidRPr="004F5522" w:rsidRDefault="00C46433" w:rsidP="007532BD">
            <w:pPr>
              <w:ind w:left="0"/>
            </w:pPr>
            <w:r w:rsidRPr="004F5522">
              <w:t>Interface to Licensing Systems</w:t>
            </w:r>
          </w:p>
        </w:tc>
        <w:tc>
          <w:tcPr>
            <w:tcW w:w="6171" w:type="dxa"/>
          </w:tcPr>
          <w:p w:rsidR="00C46433" w:rsidRPr="004F5522" w:rsidRDefault="00C46433" w:rsidP="007532BD">
            <w:pPr>
              <w:ind w:left="0"/>
            </w:pPr>
            <w:r w:rsidRPr="004F5522">
              <w:t xml:space="preserve">Interfaces can go to a legacy licensing system, to other federal licensing or registration systems, and to State licensing systems.  Such interfaces can support notification when an applicant or enrollee has been disciplined or had a license restricted or terminated or </w:t>
            </w:r>
            <w:proofErr w:type="spellStart"/>
            <w:r w:rsidRPr="004F5522">
              <w:t>non renewed</w:t>
            </w:r>
            <w:proofErr w:type="spellEnd"/>
            <w:r w:rsidRPr="004F5522">
              <w:t>.</w:t>
            </w:r>
          </w:p>
        </w:tc>
      </w:tr>
      <w:tr w:rsidR="00C46433" w:rsidRPr="004F5522" w:rsidTr="007532BD">
        <w:tc>
          <w:tcPr>
            <w:tcW w:w="1256" w:type="dxa"/>
          </w:tcPr>
          <w:p w:rsidR="00C46433" w:rsidRPr="004F5522" w:rsidRDefault="00C46433" w:rsidP="007532BD">
            <w:pPr>
              <w:ind w:left="0"/>
            </w:pPr>
            <w:r w:rsidRPr="004F5522">
              <w:t>7300</w:t>
            </w:r>
          </w:p>
        </w:tc>
        <w:tc>
          <w:tcPr>
            <w:tcW w:w="2388" w:type="dxa"/>
          </w:tcPr>
          <w:p w:rsidR="00C46433" w:rsidRPr="004F5522" w:rsidRDefault="00C46433" w:rsidP="007532BD">
            <w:pPr>
              <w:ind w:left="0"/>
            </w:pPr>
            <w:r w:rsidRPr="004F5522">
              <w:t>Document management seamless integration</w:t>
            </w:r>
          </w:p>
        </w:tc>
        <w:tc>
          <w:tcPr>
            <w:tcW w:w="6171" w:type="dxa"/>
          </w:tcPr>
          <w:p w:rsidR="00C46433" w:rsidRPr="004F5522" w:rsidRDefault="00C46433" w:rsidP="007532BD">
            <w:pPr>
              <w:ind w:left="0"/>
            </w:pPr>
            <w:r>
              <w:t xml:space="preserve">Document management covers the submittal of documents, providing metadata to describe the type of document, retrieval and review, and linking an existing document to new or other existing applications or permits.  </w:t>
            </w:r>
          </w:p>
        </w:tc>
      </w:tr>
      <w:tr w:rsidR="00C46433" w:rsidRPr="004F5522" w:rsidTr="007532BD">
        <w:tc>
          <w:tcPr>
            <w:tcW w:w="1256" w:type="dxa"/>
          </w:tcPr>
          <w:p w:rsidR="00C46433" w:rsidRPr="004F5522" w:rsidRDefault="00C46433" w:rsidP="007532BD">
            <w:pPr>
              <w:ind w:left="0"/>
            </w:pPr>
            <w:r>
              <w:t>7310</w:t>
            </w:r>
          </w:p>
        </w:tc>
        <w:tc>
          <w:tcPr>
            <w:tcW w:w="2388" w:type="dxa"/>
          </w:tcPr>
          <w:p w:rsidR="00C46433" w:rsidRPr="004F5522" w:rsidRDefault="00C46433" w:rsidP="007532BD">
            <w:pPr>
              <w:ind w:left="0"/>
            </w:pPr>
            <w:r>
              <w:t>Upload</w:t>
            </w:r>
          </w:p>
        </w:tc>
        <w:tc>
          <w:tcPr>
            <w:tcW w:w="6171" w:type="dxa"/>
          </w:tcPr>
          <w:p w:rsidR="00C46433" w:rsidRDefault="00C46433" w:rsidP="007532BD">
            <w:pPr>
              <w:ind w:left="0"/>
            </w:pPr>
          </w:p>
        </w:tc>
      </w:tr>
      <w:tr w:rsidR="00C46433" w:rsidRPr="004F5522" w:rsidTr="007532BD">
        <w:tc>
          <w:tcPr>
            <w:tcW w:w="1256" w:type="dxa"/>
          </w:tcPr>
          <w:p w:rsidR="00C46433" w:rsidRDefault="00C46433" w:rsidP="007532BD">
            <w:pPr>
              <w:ind w:left="0"/>
            </w:pPr>
            <w:r>
              <w:t>7320</w:t>
            </w:r>
          </w:p>
        </w:tc>
        <w:tc>
          <w:tcPr>
            <w:tcW w:w="2388" w:type="dxa"/>
          </w:tcPr>
          <w:p w:rsidR="00C46433" w:rsidRDefault="00C46433" w:rsidP="007532BD">
            <w:pPr>
              <w:ind w:left="0"/>
            </w:pPr>
            <w:r>
              <w:t>Classify</w:t>
            </w:r>
          </w:p>
        </w:tc>
        <w:tc>
          <w:tcPr>
            <w:tcW w:w="6171" w:type="dxa"/>
          </w:tcPr>
          <w:p w:rsidR="00C46433" w:rsidRDefault="00C46433" w:rsidP="007532BD">
            <w:pPr>
              <w:ind w:left="0"/>
            </w:pPr>
          </w:p>
        </w:tc>
      </w:tr>
      <w:tr w:rsidR="00C46433" w:rsidRPr="004F5522" w:rsidTr="007532BD">
        <w:tc>
          <w:tcPr>
            <w:tcW w:w="1256" w:type="dxa"/>
          </w:tcPr>
          <w:p w:rsidR="00C46433" w:rsidRDefault="00C46433" w:rsidP="007532BD">
            <w:pPr>
              <w:ind w:left="0"/>
            </w:pPr>
            <w:r>
              <w:t>7330</w:t>
            </w:r>
          </w:p>
        </w:tc>
        <w:tc>
          <w:tcPr>
            <w:tcW w:w="2388" w:type="dxa"/>
          </w:tcPr>
          <w:p w:rsidR="00C46433" w:rsidRDefault="00C46433" w:rsidP="007532BD">
            <w:pPr>
              <w:ind w:left="0"/>
            </w:pPr>
            <w:r>
              <w:t>Maintain</w:t>
            </w:r>
          </w:p>
        </w:tc>
        <w:tc>
          <w:tcPr>
            <w:tcW w:w="6171" w:type="dxa"/>
          </w:tcPr>
          <w:p w:rsidR="00C46433" w:rsidRDefault="00C46433" w:rsidP="007532BD">
            <w:pPr>
              <w:ind w:left="0"/>
            </w:pPr>
          </w:p>
        </w:tc>
      </w:tr>
      <w:tr w:rsidR="00C46433" w:rsidRPr="004F5522" w:rsidTr="007532BD">
        <w:tc>
          <w:tcPr>
            <w:tcW w:w="1256" w:type="dxa"/>
          </w:tcPr>
          <w:p w:rsidR="00C46433" w:rsidRDefault="00C46433" w:rsidP="007532BD">
            <w:pPr>
              <w:ind w:left="0"/>
            </w:pPr>
            <w:r>
              <w:t>7340</w:t>
            </w:r>
          </w:p>
        </w:tc>
        <w:tc>
          <w:tcPr>
            <w:tcW w:w="2388" w:type="dxa"/>
          </w:tcPr>
          <w:p w:rsidR="00C46433" w:rsidRDefault="00C46433" w:rsidP="007532BD">
            <w:pPr>
              <w:ind w:left="0"/>
            </w:pPr>
            <w:r>
              <w:t>Retrieve and View</w:t>
            </w:r>
          </w:p>
        </w:tc>
        <w:tc>
          <w:tcPr>
            <w:tcW w:w="6171" w:type="dxa"/>
          </w:tcPr>
          <w:p w:rsidR="00C46433" w:rsidRDefault="00C46433" w:rsidP="007532BD">
            <w:pPr>
              <w:ind w:left="0"/>
            </w:pPr>
          </w:p>
        </w:tc>
      </w:tr>
      <w:tr w:rsidR="00C46433" w:rsidRPr="004F5522" w:rsidTr="007532BD">
        <w:tc>
          <w:tcPr>
            <w:tcW w:w="1256" w:type="dxa"/>
          </w:tcPr>
          <w:p w:rsidR="00C46433" w:rsidRDefault="00C46433" w:rsidP="007532BD">
            <w:pPr>
              <w:ind w:left="0"/>
            </w:pPr>
            <w:r>
              <w:t xml:space="preserve">7350 </w:t>
            </w:r>
          </w:p>
        </w:tc>
        <w:tc>
          <w:tcPr>
            <w:tcW w:w="2388" w:type="dxa"/>
          </w:tcPr>
          <w:p w:rsidR="00C46433" w:rsidRDefault="00C46433" w:rsidP="007532BD">
            <w:pPr>
              <w:ind w:left="0"/>
            </w:pPr>
            <w:r>
              <w:t>Cross Reference</w:t>
            </w:r>
          </w:p>
        </w:tc>
        <w:tc>
          <w:tcPr>
            <w:tcW w:w="6171" w:type="dxa"/>
          </w:tcPr>
          <w:p w:rsidR="00C46433" w:rsidRDefault="00C46433" w:rsidP="007532BD">
            <w:pPr>
              <w:ind w:left="0"/>
            </w:pPr>
          </w:p>
        </w:tc>
      </w:tr>
      <w:tr w:rsidR="00C46433" w:rsidRPr="004F5522" w:rsidTr="007532BD">
        <w:tc>
          <w:tcPr>
            <w:tcW w:w="1256" w:type="dxa"/>
          </w:tcPr>
          <w:p w:rsidR="00C46433" w:rsidRDefault="00C46433" w:rsidP="007532BD">
            <w:pPr>
              <w:ind w:left="0"/>
            </w:pPr>
            <w:r>
              <w:t>7360</w:t>
            </w:r>
          </w:p>
        </w:tc>
        <w:tc>
          <w:tcPr>
            <w:tcW w:w="2388" w:type="dxa"/>
          </w:tcPr>
          <w:p w:rsidR="00C46433" w:rsidRDefault="00C46433" w:rsidP="007532BD">
            <w:pPr>
              <w:ind w:left="0"/>
            </w:pPr>
            <w:r>
              <w:t>Notate Document</w:t>
            </w:r>
          </w:p>
        </w:tc>
        <w:tc>
          <w:tcPr>
            <w:tcW w:w="6171" w:type="dxa"/>
          </w:tcPr>
          <w:p w:rsidR="00C46433" w:rsidRDefault="00C46433" w:rsidP="007532BD">
            <w:pPr>
              <w:ind w:left="0"/>
            </w:pPr>
          </w:p>
        </w:tc>
      </w:tr>
      <w:tr w:rsidR="00C46433" w:rsidRPr="004F5522" w:rsidTr="007532BD">
        <w:tc>
          <w:tcPr>
            <w:tcW w:w="1256" w:type="dxa"/>
          </w:tcPr>
          <w:p w:rsidR="00C46433" w:rsidRPr="004F5522" w:rsidRDefault="00C46433" w:rsidP="007532BD">
            <w:pPr>
              <w:ind w:left="0"/>
            </w:pPr>
            <w:r w:rsidRPr="004F5522">
              <w:t>7400</w:t>
            </w:r>
          </w:p>
        </w:tc>
        <w:tc>
          <w:tcPr>
            <w:tcW w:w="2388" w:type="dxa"/>
          </w:tcPr>
          <w:p w:rsidR="00C46433" w:rsidRPr="004F5522" w:rsidRDefault="00C46433" w:rsidP="007532BD">
            <w:pPr>
              <w:ind w:left="0"/>
            </w:pPr>
            <w:r w:rsidRPr="004F5522">
              <w:t>Fraud, Waste, and Abuse Investigation Interface</w:t>
            </w:r>
          </w:p>
        </w:tc>
        <w:tc>
          <w:tcPr>
            <w:tcW w:w="6171" w:type="dxa"/>
          </w:tcPr>
          <w:p w:rsidR="00C46433" w:rsidRPr="004F5522" w:rsidRDefault="00C46433" w:rsidP="007532BD">
            <w:pPr>
              <w:ind w:left="0"/>
            </w:pPr>
            <w:r w:rsidRPr="004F5522">
              <w:t xml:space="preserve">This is the Interface to a separate Fraud, Waste and Abuse system.  The functionality in this area is addressed in 8500 if it is an integral part of the provider enrollment activity.  An Interface is important if cases originated for Investigation of Fraud, Waste and Abuse are investigated in the Provider Enrollment system.  Fraud in the application process can be addressed in the Provider Enrollment system or a separate system.  If a separate system is used for enrollment fraud investigations, then the interface is used to export applicant data to the fraud investigation system.  Similarly, an external Fraud Waste and Abuse system may want to extract application or enrollment data for its investigation.  </w:t>
            </w:r>
          </w:p>
        </w:tc>
      </w:tr>
      <w:tr w:rsidR="00C46433" w:rsidRPr="004F5522" w:rsidTr="007532BD">
        <w:tc>
          <w:tcPr>
            <w:tcW w:w="1256" w:type="dxa"/>
          </w:tcPr>
          <w:p w:rsidR="00C46433" w:rsidRPr="004F5522" w:rsidRDefault="00C46433" w:rsidP="007532BD">
            <w:pPr>
              <w:ind w:left="0"/>
            </w:pPr>
            <w:r>
              <w:t>7500</w:t>
            </w:r>
          </w:p>
        </w:tc>
        <w:tc>
          <w:tcPr>
            <w:tcW w:w="2388" w:type="dxa"/>
          </w:tcPr>
          <w:p w:rsidR="00C46433" w:rsidRPr="004F5522" w:rsidRDefault="00C46433" w:rsidP="007532BD">
            <w:pPr>
              <w:ind w:left="0"/>
            </w:pPr>
            <w:r>
              <w:t>Perform Site Inspection</w:t>
            </w:r>
          </w:p>
        </w:tc>
        <w:tc>
          <w:tcPr>
            <w:tcW w:w="6171" w:type="dxa"/>
          </w:tcPr>
          <w:p w:rsidR="00C46433" w:rsidRPr="004F5522" w:rsidRDefault="00C46433" w:rsidP="007532BD">
            <w:pPr>
              <w:ind w:left="0"/>
            </w:pPr>
            <w:r>
              <w:t xml:space="preserve">A condition of application approval can be a site inspection.  There is a series of tasks such as scheduling, conducting the site visit, documentation of findings, </w:t>
            </w:r>
            <w:proofErr w:type="spellStart"/>
            <w:r>
              <w:t>followup</w:t>
            </w:r>
            <w:proofErr w:type="spellEnd"/>
            <w:r>
              <w:t xml:space="preserve"> requests, revisions to the application.</w:t>
            </w:r>
          </w:p>
        </w:tc>
      </w:tr>
      <w:tr w:rsidR="00C46433" w:rsidRPr="004F5522" w:rsidTr="007532BD">
        <w:tc>
          <w:tcPr>
            <w:tcW w:w="1256" w:type="dxa"/>
          </w:tcPr>
          <w:p w:rsidR="00C46433" w:rsidRPr="004F5522" w:rsidRDefault="00C46433" w:rsidP="007532BD">
            <w:pPr>
              <w:ind w:left="0"/>
            </w:pPr>
          </w:p>
        </w:tc>
        <w:tc>
          <w:tcPr>
            <w:tcW w:w="2388" w:type="dxa"/>
          </w:tcPr>
          <w:p w:rsidR="00C46433" w:rsidRPr="004F5522" w:rsidRDefault="00C46433" w:rsidP="007532BD">
            <w:pPr>
              <w:ind w:left="0"/>
            </w:pPr>
          </w:p>
        </w:tc>
        <w:tc>
          <w:tcPr>
            <w:tcW w:w="6171" w:type="dxa"/>
          </w:tcPr>
          <w:p w:rsidR="00C46433" w:rsidRPr="004F5522" w:rsidRDefault="00C46433" w:rsidP="007532BD">
            <w:pPr>
              <w:ind w:left="0"/>
            </w:pPr>
          </w:p>
        </w:tc>
      </w:tr>
      <w:tr w:rsidR="00C46433" w:rsidRPr="004F5522" w:rsidTr="007532BD">
        <w:tc>
          <w:tcPr>
            <w:tcW w:w="1256" w:type="dxa"/>
          </w:tcPr>
          <w:p w:rsidR="00C46433" w:rsidRPr="004F5522" w:rsidRDefault="00C46433" w:rsidP="007532BD">
            <w:pPr>
              <w:ind w:left="0"/>
            </w:pPr>
          </w:p>
        </w:tc>
        <w:tc>
          <w:tcPr>
            <w:tcW w:w="2388" w:type="dxa"/>
          </w:tcPr>
          <w:p w:rsidR="00C46433" w:rsidRPr="004F5522" w:rsidRDefault="00C46433" w:rsidP="007532BD">
            <w:pPr>
              <w:ind w:left="0"/>
            </w:pPr>
          </w:p>
        </w:tc>
        <w:tc>
          <w:tcPr>
            <w:tcW w:w="6171" w:type="dxa"/>
          </w:tcPr>
          <w:p w:rsidR="00C46433" w:rsidRPr="004F5522" w:rsidRDefault="00C46433" w:rsidP="007532BD">
            <w:pPr>
              <w:ind w:left="0"/>
            </w:pPr>
          </w:p>
        </w:tc>
      </w:tr>
      <w:tr w:rsidR="00C46433" w:rsidRPr="004F5522" w:rsidTr="007532BD">
        <w:tc>
          <w:tcPr>
            <w:tcW w:w="1256" w:type="dxa"/>
          </w:tcPr>
          <w:p w:rsidR="00C46433" w:rsidRPr="004F5522" w:rsidRDefault="00C46433" w:rsidP="007532BD">
            <w:pPr>
              <w:ind w:left="0"/>
            </w:pPr>
            <w:r w:rsidRPr="004F5522">
              <w:t>7900</w:t>
            </w:r>
          </w:p>
        </w:tc>
        <w:tc>
          <w:tcPr>
            <w:tcW w:w="2388" w:type="dxa"/>
          </w:tcPr>
          <w:p w:rsidR="00C46433" w:rsidRPr="004F5522" w:rsidRDefault="00C46433" w:rsidP="007532BD">
            <w:pPr>
              <w:ind w:left="0"/>
            </w:pPr>
            <w:r w:rsidRPr="004F5522">
              <w:t>Interface Reporting</w:t>
            </w:r>
          </w:p>
        </w:tc>
        <w:tc>
          <w:tcPr>
            <w:tcW w:w="6171" w:type="dxa"/>
          </w:tcPr>
          <w:p w:rsidR="00C46433" w:rsidRPr="004F5522" w:rsidRDefault="00C46433" w:rsidP="007532BD">
            <w:pPr>
              <w:ind w:left="0"/>
            </w:pPr>
          </w:p>
        </w:tc>
      </w:tr>
    </w:tbl>
    <w:p w:rsidR="00C46433" w:rsidRDefault="00C46433" w:rsidP="00C46433">
      <w:pPr>
        <w:sectPr w:rsidR="00C46433">
          <w:pgSz w:w="12240" w:h="15840"/>
          <w:pgMar w:top="1440" w:right="1440" w:bottom="1440" w:left="1440" w:header="720" w:footer="720" w:gutter="0"/>
          <w:cols w:space="720"/>
          <w:docGrid w:linePitch="360"/>
        </w:sectPr>
      </w:pPr>
      <w:r>
        <w:br w:type="page"/>
      </w:r>
    </w:p>
    <w:p w:rsidR="00D717FE" w:rsidRDefault="00D717FE">
      <w:bookmarkStart w:id="0" w:name="_GoBack"/>
      <w:bookmarkEnd w:id="0"/>
    </w:p>
    <w:sectPr w:rsidR="00D7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33"/>
    <w:rsid w:val="00C46433"/>
    <w:rsid w:val="00D7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C6CC2-B958-44CD-8F91-AFFB500F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433"/>
    <w:pPr>
      <w:ind w:left="144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C4643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46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V. Williamson</dc:creator>
  <cp:keywords/>
  <dc:description/>
  <cp:lastModifiedBy>Stephen V. Williamson</cp:lastModifiedBy>
  <cp:revision>1</cp:revision>
  <dcterms:created xsi:type="dcterms:W3CDTF">2019-04-27T00:24:00Z</dcterms:created>
  <dcterms:modified xsi:type="dcterms:W3CDTF">2019-04-27T00:24:00Z</dcterms:modified>
</cp:coreProperties>
</file>