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539C" w:rsidRDefault="003D539C" w:rsidP="003D539C">
      <w:r>
        <w:object w:dxaOrig="15161" w:dyaOrig="11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5pt;height:468pt" o:ole="">
            <v:imagedata r:id="rId4" o:title=""/>
          </v:shape>
          <o:OLEObject Type="Embed" ProgID="Visio.Drawing.15" ShapeID="_x0000_i1025" DrawAspect="Content" ObjectID="_1617809655" r:id="rId5"/>
        </w:object>
      </w:r>
    </w:p>
    <w:p w:rsidR="003D539C" w:rsidRDefault="003D539C" w:rsidP="003D539C">
      <w:pPr>
        <w:ind w:left="0"/>
        <w:sectPr w:rsidR="003D539C" w:rsidSect="007857CF">
          <w:pgSz w:w="15840" w:h="12240" w:orient="landscape"/>
          <w:pgMar w:top="1440" w:right="1440" w:bottom="1440" w:left="1440" w:header="720" w:footer="720" w:gutter="0"/>
          <w:cols w:space="720"/>
          <w:docGrid w:linePitch="360"/>
        </w:sectPr>
      </w:pPr>
    </w:p>
    <w:p w:rsidR="003D539C" w:rsidRDefault="003D539C" w:rsidP="003D539C"/>
    <w:tbl>
      <w:tblPr>
        <w:tblStyle w:val="TableGrid1"/>
        <w:tblW w:w="9815" w:type="dxa"/>
        <w:tblLook w:val="04A0" w:firstRow="1" w:lastRow="0" w:firstColumn="1" w:lastColumn="0" w:noHBand="0" w:noVBand="1"/>
      </w:tblPr>
      <w:tblGrid>
        <w:gridCol w:w="1256"/>
        <w:gridCol w:w="2388"/>
        <w:gridCol w:w="6171"/>
      </w:tblGrid>
      <w:tr w:rsidR="003D539C" w:rsidRPr="004F5522" w:rsidTr="007532BD">
        <w:tc>
          <w:tcPr>
            <w:tcW w:w="1256" w:type="dxa"/>
            <w:shd w:val="clear" w:color="auto" w:fill="A7B5ED"/>
          </w:tcPr>
          <w:p w:rsidR="003D539C" w:rsidRPr="004F5522" w:rsidRDefault="003D539C" w:rsidP="007532BD">
            <w:pPr>
              <w:ind w:left="0"/>
            </w:pPr>
            <w:r w:rsidRPr="004F5522">
              <w:t>9000</w:t>
            </w:r>
          </w:p>
        </w:tc>
        <w:tc>
          <w:tcPr>
            <w:tcW w:w="2388" w:type="dxa"/>
            <w:shd w:val="clear" w:color="auto" w:fill="A7B5ED"/>
          </w:tcPr>
          <w:p w:rsidR="003D539C" w:rsidRPr="004F5522" w:rsidRDefault="003D539C" w:rsidP="007532BD">
            <w:pPr>
              <w:ind w:left="0"/>
            </w:pPr>
            <w:r>
              <w:t>Post-</w:t>
            </w:r>
            <w:proofErr w:type="gramStart"/>
            <w:r>
              <w:t>decision  Process</w:t>
            </w:r>
            <w:proofErr w:type="gramEnd"/>
          </w:p>
        </w:tc>
        <w:tc>
          <w:tcPr>
            <w:tcW w:w="6171" w:type="dxa"/>
            <w:shd w:val="clear" w:color="auto" w:fill="A7B5ED"/>
          </w:tcPr>
          <w:p w:rsidR="003D539C" w:rsidRPr="004F5522" w:rsidRDefault="003D539C" w:rsidP="007532BD">
            <w:pPr>
              <w:ind w:left="0"/>
            </w:pPr>
            <w:r>
              <w:t>This section addresses activities that can occur following delivery of the product or service.  This includes renewal processing, field examinations, audits, complaints, investigations, actions that limit conduct, and assessment of satisfaction.</w:t>
            </w:r>
          </w:p>
        </w:tc>
      </w:tr>
      <w:tr w:rsidR="003D539C" w:rsidRPr="004F5522" w:rsidTr="007532BD">
        <w:tc>
          <w:tcPr>
            <w:tcW w:w="1256" w:type="dxa"/>
          </w:tcPr>
          <w:p w:rsidR="003D539C" w:rsidRPr="004F5522" w:rsidRDefault="003D539C" w:rsidP="007532BD">
            <w:pPr>
              <w:ind w:left="0"/>
            </w:pPr>
            <w:r w:rsidRPr="004F5522">
              <w:t>9100</w:t>
            </w:r>
          </w:p>
        </w:tc>
        <w:tc>
          <w:tcPr>
            <w:tcW w:w="2388" w:type="dxa"/>
          </w:tcPr>
          <w:p w:rsidR="003D539C" w:rsidRPr="004F5522" w:rsidRDefault="003D539C" w:rsidP="007532BD">
            <w:pPr>
              <w:ind w:left="0"/>
            </w:pPr>
            <w:r>
              <w:t>Adjustment</w:t>
            </w:r>
          </w:p>
        </w:tc>
        <w:tc>
          <w:tcPr>
            <w:tcW w:w="6171" w:type="dxa"/>
          </w:tcPr>
          <w:p w:rsidR="003D539C" w:rsidRPr="004F5522" w:rsidRDefault="003D539C" w:rsidP="007532BD">
            <w:pPr>
              <w:ind w:left="0"/>
            </w:pPr>
            <w:r>
              <w:t xml:space="preserve">Updated information, </w:t>
            </w:r>
            <w:proofErr w:type="spellStart"/>
            <w:r>
              <w:t>recalc</w:t>
            </w:r>
            <w:proofErr w:type="spellEnd"/>
            <w:r>
              <w:t xml:space="preserve">, </w:t>
            </w:r>
            <w:proofErr w:type="spellStart"/>
            <w:r>
              <w:t>clawback</w:t>
            </w:r>
            <w:proofErr w:type="spellEnd"/>
            <w:r>
              <w:t>, added payment, new conditions</w:t>
            </w:r>
          </w:p>
        </w:tc>
      </w:tr>
      <w:tr w:rsidR="003D539C" w:rsidRPr="004F5522" w:rsidTr="007532BD">
        <w:tc>
          <w:tcPr>
            <w:tcW w:w="1256" w:type="dxa"/>
          </w:tcPr>
          <w:p w:rsidR="003D539C" w:rsidRPr="004F5522" w:rsidRDefault="003D539C" w:rsidP="007532BD">
            <w:pPr>
              <w:ind w:left="0"/>
            </w:pPr>
            <w:r w:rsidRPr="004F5522">
              <w:t>9</w:t>
            </w:r>
            <w:r>
              <w:t>150</w:t>
            </w:r>
          </w:p>
        </w:tc>
        <w:tc>
          <w:tcPr>
            <w:tcW w:w="2388" w:type="dxa"/>
          </w:tcPr>
          <w:p w:rsidR="003D539C" w:rsidRPr="004F5522" w:rsidRDefault="003D539C" w:rsidP="007532BD">
            <w:pPr>
              <w:ind w:left="0"/>
            </w:pPr>
            <w:r>
              <w:t>Evaluation</w:t>
            </w:r>
          </w:p>
        </w:tc>
        <w:tc>
          <w:tcPr>
            <w:tcW w:w="6171" w:type="dxa"/>
          </w:tcPr>
          <w:p w:rsidR="003D539C" w:rsidRPr="004F5522" w:rsidRDefault="003D539C" w:rsidP="007532BD">
            <w:pPr>
              <w:ind w:left="0"/>
            </w:pPr>
            <w:r>
              <w:t xml:space="preserve">Note that renewals are 8700; </w:t>
            </w:r>
          </w:p>
        </w:tc>
      </w:tr>
      <w:tr w:rsidR="003D539C" w:rsidRPr="004F5522" w:rsidTr="007532BD">
        <w:tc>
          <w:tcPr>
            <w:tcW w:w="1256" w:type="dxa"/>
          </w:tcPr>
          <w:p w:rsidR="003D539C" w:rsidRPr="004F5522" w:rsidRDefault="003D539C" w:rsidP="007532BD">
            <w:pPr>
              <w:ind w:left="0"/>
            </w:pPr>
            <w:r w:rsidRPr="004F5522">
              <w:t>9</w:t>
            </w:r>
            <w:r>
              <w:t>2</w:t>
            </w:r>
            <w:r w:rsidRPr="004F5522">
              <w:t>00</w:t>
            </w:r>
          </w:p>
        </w:tc>
        <w:tc>
          <w:tcPr>
            <w:tcW w:w="2388" w:type="dxa"/>
          </w:tcPr>
          <w:p w:rsidR="003D539C" w:rsidRPr="004F5522" w:rsidRDefault="003D539C" w:rsidP="007532BD">
            <w:pPr>
              <w:ind w:left="0"/>
            </w:pPr>
            <w:r>
              <w:t>Inspection</w:t>
            </w:r>
          </w:p>
        </w:tc>
        <w:tc>
          <w:tcPr>
            <w:tcW w:w="6171" w:type="dxa"/>
          </w:tcPr>
          <w:p w:rsidR="003D539C" w:rsidRDefault="003D539C" w:rsidP="007532BD">
            <w:pPr>
              <w:ind w:left="0"/>
            </w:pPr>
            <w:r>
              <w:t>Compliance verification: survey, field inspection, prioritize for inspection, conduct inspection</w:t>
            </w:r>
          </w:p>
          <w:p w:rsidR="003D539C" w:rsidRDefault="003D539C" w:rsidP="007532BD">
            <w:pPr>
              <w:ind w:left="0"/>
            </w:pPr>
            <w:r>
              <w:t>Inspection is different than Investigation.</w:t>
            </w:r>
          </w:p>
          <w:p w:rsidR="003D539C" w:rsidRPr="004F5522" w:rsidRDefault="003D539C" w:rsidP="007532BD">
            <w:pPr>
              <w:ind w:left="0"/>
            </w:pPr>
            <w:r>
              <w:t xml:space="preserve">Inspections can be initiated based on a cycle or within a cycle.  A program may have a mandatory </w:t>
            </w:r>
            <w:proofErr w:type="spellStart"/>
            <w:r>
              <w:t>nspection</w:t>
            </w:r>
            <w:proofErr w:type="spellEnd"/>
            <w:r>
              <w:t xml:space="preserve"> every third year, or an inspection required at least once every third year.  Where there is a long maximum time frame, the Licensing organization may choose to identify higher-risk targets to inspect every year and lower risk licenses left to a longer cycle that is mandatory </w:t>
            </w:r>
            <w:proofErr w:type="gramStart"/>
            <w:r>
              <w:t>but  not</w:t>
            </w:r>
            <w:proofErr w:type="gramEnd"/>
            <w:r>
              <w:t xml:space="preserve"> otherwise having an obvious need for attention.</w:t>
            </w:r>
          </w:p>
        </w:tc>
      </w:tr>
      <w:tr w:rsidR="003D539C" w:rsidRPr="004F5522" w:rsidTr="007532BD">
        <w:tc>
          <w:tcPr>
            <w:tcW w:w="1256" w:type="dxa"/>
          </w:tcPr>
          <w:p w:rsidR="003D539C" w:rsidRPr="004F5522" w:rsidRDefault="003D539C" w:rsidP="007532BD">
            <w:pPr>
              <w:ind w:left="0"/>
            </w:pPr>
          </w:p>
        </w:tc>
        <w:tc>
          <w:tcPr>
            <w:tcW w:w="2388" w:type="dxa"/>
          </w:tcPr>
          <w:p w:rsidR="003D539C" w:rsidRDefault="003D539C" w:rsidP="007532BD">
            <w:pPr>
              <w:ind w:left="0"/>
            </w:pPr>
            <w:r>
              <w:t>9210 Recipient Reporting</w:t>
            </w:r>
          </w:p>
        </w:tc>
        <w:tc>
          <w:tcPr>
            <w:tcW w:w="6171" w:type="dxa"/>
          </w:tcPr>
          <w:p w:rsidR="003D539C" w:rsidRDefault="003D539C" w:rsidP="007532BD">
            <w:pPr>
              <w:ind w:left="0"/>
            </w:pPr>
            <w:r>
              <w:t xml:space="preserve">Recipients of grants and licenses may be required to submit an annual report even if there is no payment required.  A grant recipient may have to show results from the award; A licensee may have to demonstrate they are making use of thee permit and not keeping it on the shelf; or show they are using it and not sub-letting it.  </w:t>
            </w:r>
          </w:p>
        </w:tc>
      </w:tr>
      <w:tr w:rsidR="003D539C" w:rsidRPr="004F5522" w:rsidTr="007532BD">
        <w:tc>
          <w:tcPr>
            <w:tcW w:w="1256" w:type="dxa"/>
          </w:tcPr>
          <w:p w:rsidR="003D539C" w:rsidRPr="004F5522" w:rsidRDefault="003D539C" w:rsidP="007532BD">
            <w:pPr>
              <w:ind w:left="0"/>
            </w:pPr>
          </w:p>
        </w:tc>
        <w:tc>
          <w:tcPr>
            <w:tcW w:w="2388" w:type="dxa"/>
          </w:tcPr>
          <w:p w:rsidR="003D539C" w:rsidRDefault="003D539C" w:rsidP="007532BD">
            <w:pPr>
              <w:ind w:left="0"/>
            </w:pPr>
          </w:p>
        </w:tc>
        <w:tc>
          <w:tcPr>
            <w:tcW w:w="6171" w:type="dxa"/>
          </w:tcPr>
          <w:p w:rsidR="003D539C" w:rsidRDefault="003D539C" w:rsidP="007532BD">
            <w:pPr>
              <w:ind w:left="0"/>
            </w:pPr>
          </w:p>
        </w:tc>
      </w:tr>
      <w:tr w:rsidR="003D539C" w:rsidRPr="004F5522" w:rsidTr="007532BD">
        <w:tc>
          <w:tcPr>
            <w:tcW w:w="1256" w:type="dxa"/>
          </w:tcPr>
          <w:p w:rsidR="003D539C" w:rsidRPr="004F5522" w:rsidRDefault="003D539C" w:rsidP="007532BD">
            <w:pPr>
              <w:ind w:left="0"/>
            </w:pPr>
          </w:p>
        </w:tc>
        <w:tc>
          <w:tcPr>
            <w:tcW w:w="2388" w:type="dxa"/>
          </w:tcPr>
          <w:p w:rsidR="003D539C" w:rsidRDefault="003D539C" w:rsidP="007532BD">
            <w:pPr>
              <w:ind w:left="0"/>
            </w:pPr>
            <w:r>
              <w:t>Prioritize</w:t>
            </w:r>
          </w:p>
        </w:tc>
        <w:tc>
          <w:tcPr>
            <w:tcW w:w="6171" w:type="dxa"/>
          </w:tcPr>
          <w:p w:rsidR="003D539C" w:rsidRDefault="003D539C" w:rsidP="007532BD">
            <w:pPr>
              <w:ind w:left="0"/>
            </w:pPr>
            <w:r>
              <w:t>The system has parameters defined where the client enters coefficients (values) and entities are identified that meet the filtered results.  The user may go through iterations to refine the values for the parameters to get to right sized list based on available staff.</w:t>
            </w:r>
          </w:p>
          <w:p w:rsidR="003D539C" w:rsidRDefault="003D539C" w:rsidP="007532BD">
            <w:pPr>
              <w:ind w:left="0"/>
            </w:pPr>
          </w:p>
        </w:tc>
      </w:tr>
      <w:tr w:rsidR="003D539C" w:rsidRPr="004F5522" w:rsidTr="007532BD">
        <w:tc>
          <w:tcPr>
            <w:tcW w:w="1256" w:type="dxa"/>
          </w:tcPr>
          <w:p w:rsidR="003D539C" w:rsidRPr="004F5522" w:rsidRDefault="003D539C" w:rsidP="007532BD">
            <w:pPr>
              <w:ind w:left="0"/>
            </w:pPr>
          </w:p>
        </w:tc>
        <w:tc>
          <w:tcPr>
            <w:tcW w:w="2388" w:type="dxa"/>
          </w:tcPr>
          <w:p w:rsidR="003D539C" w:rsidRDefault="003D539C" w:rsidP="007532BD">
            <w:pPr>
              <w:ind w:left="0"/>
            </w:pPr>
            <w:r>
              <w:t>Target</w:t>
            </w:r>
          </w:p>
        </w:tc>
        <w:tc>
          <w:tcPr>
            <w:tcW w:w="6171" w:type="dxa"/>
          </w:tcPr>
          <w:p w:rsidR="003D539C" w:rsidRDefault="003D539C" w:rsidP="007532BD">
            <w:pPr>
              <w:ind w:left="0"/>
            </w:pPr>
            <w:r>
              <w:t xml:space="preserve">Discretionary selection may be organized based on geography or organization type.  The user would filter for inspection licenses in a geographic area, or of an industry type.  </w:t>
            </w:r>
          </w:p>
        </w:tc>
      </w:tr>
      <w:tr w:rsidR="003D539C" w:rsidRPr="004F5522" w:rsidTr="007532BD">
        <w:tc>
          <w:tcPr>
            <w:tcW w:w="1256" w:type="dxa"/>
          </w:tcPr>
          <w:p w:rsidR="003D539C" w:rsidRPr="004F5522" w:rsidRDefault="003D539C" w:rsidP="007532BD">
            <w:pPr>
              <w:ind w:left="0"/>
            </w:pPr>
            <w:r>
              <w:t>9300</w:t>
            </w:r>
          </w:p>
        </w:tc>
        <w:tc>
          <w:tcPr>
            <w:tcW w:w="2388" w:type="dxa"/>
          </w:tcPr>
          <w:p w:rsidR="003D539C" w:rsidRDefault="003D539C" w:rsidP="007532BD">
            <w:pPr>
              <w:ind w:left="0"/>
            </w:pPr>
            <w:r>
              <w:t>Complaint</w:t>
            </w:r>
          </w:p>
        </w:tc>
        <w:tc>
          <w:tcPr>
            <w:tcW w:w="6171" w:type="dxa"/>
          </w:tcPr>
          <w:p w:rsidR="003D539C" w:rsidRDefault="003D539C" w:rsidP="007532BD">
            <w:pPr>
              <w:ind w:left="0"/>
            </w:pPr>
            <w:r>
              <w:t>Public may complain against a licensee, facility, or be a whistleblower</w:t>
            </w:r>
          </w:p>
        </w:tc>
      </w:tr>
      <w:tr w:rsidR="003D539C" w:rsidRPr="004F5522" w:rsidTr="007532BD">
        <w:tc>
          <w:tcPr>
            <w:tcW w:w="1256" w:type="dxa"/>
          </w:tcPr>
          <w:p w:rsidR="003D539C" w:rsidRPr="004F5522" w:rsidRDefault="003D539C" w:rsidP="007532BD">
            <w:pPr>
              <w:ind w:left="0"/>
            </w:pPr>
          </w:p>
        </w:tc>
        <w:tc>
          <w:tcPr>
            <w:tcW w:w="2388" w:type="dxa"/>
          </w:tcPr>
          <w:p w:rsidR="003D539C" w:rsidRDefault="003D539C" w:rsidP="007532BD">
            <w:pPr>
              <w:ind w:left="0"/>
            </w:pPr>
          </w:p>
        </w:tc>
        <w:tc>
          <w:tcPr>
            <w:tcW w:w="6171" w:type="dxa"/>
          </w:tcPr>
          <w:p w:rsidR="003D539C" w:rsidRDefault="003D539C" w:rsidP="007532BD">
            <w:pPr>
              <w:ind w:left="0"/>
            </w:pPr>
          </w:p>
        </w:tc>
      </w:tr>
      <w:tr w:rsidR="003D539C" w:rsidRPr="004F5522" w:rsidTr="007532BD">
        <w:tc>
          <w:tcPr>
            <w:tcW w:w="1256" w:type="dxa"/>
          </w:tcPr>
          <w:p w:rsidR="003D539C" w:rsidRPr="004F5522" w:rsidRDefault="003D539C" w:rsidP="007532BD">
            <w:pPr>
              <w:ind w:left="0"/>
            </w:pPr>
            <w:r>
              <w:t xml:space="preserve">9400 </w:t>
            </w:r>
          </w:p>
        </w:tc>
        <w:tc>
          <w:tcPr>
            <w:tcW w:w="2388" w:type="dxa"/>
          </w:tcPr>
          <w:p w:rsidR="003D539C" w:rsidRDefault="003D539C" w:rsidP="007532BD">
            <w:pPr>
              <w:ind w:left="0"/>
            </w:pPr>
            <w:r>
              <w:t>Inhouse Complaint Assessment</w:t>
            </w:r>
          </w:p>
        </w:tc>
        <w:tc>
          <w:tcPr>
            <w:tcW w:w="6171" w:type="dxa"/>
          </w:tcPr>
          <w:p w:rsidR="003D539C" w:rsidRDefault="003D539C" w:rsidP="007532BD">
            <w:pPr>
              <w:ind w:left="0"/>
            </w:pPr>
            <w:r>
              <w:t xml:space="preserve">Where the call center or specialist </w:t>
            </w:r>
            <w:proofErr w:type="spellStart"/>
            <w:r>
              <w:t>followup</w:t>
            </w:r>
            <w:proofErr w:type="spellEnd"/>
            <w:r>
              <w:t xml:space="preserve"> can be resolved through clarification with the complainant and target without involving others.</w:t>
            </w:r>
          </w:p>
        </w:tc>
      </w:tr>
      <w:tr w:rsidR="003D539C" w:rsidRPr="004F5522" w:rsidTr="007532BD">
        <w:tc>
          <w:tcPr>
            <w:tcW w:w="1256" w:type="dxa"/>
          </w:tcPr>
          <w:p w:rsidR="003D539C" w:rsidRPr="004F5522" w:rsidRDefault="003D539C" w:rsidP="007532BD">
            <w:pPr>
              <w:ind w:left="0"/>
            </w:pPr>
          </w:p>
        </w:tc>
        <w:tc>
          <w:tcPr>
            <w:tcW w:w="2388" w:type="dxa"/>
          </w:tcPr>
          <w:p w:rsidR="003D539C" w:rsidRDefault="003D539C" w:rsidP="007532BD">
            <w:pPr>
              <w:ind w:left="0"/>
            </w:pPr>
          </w:p>
        </w:tc>
        <w:tc>
          <w:tcPr>
            <w:tcW w:w="6171" w:type="dxa"/>
          </w:tcPr>
          <w:p w:rsidR="003D539C" w:rsidRDefault="003D539C" w:rsidP="007532BD">
            <w:pPr>
              <w:ind w:left="0"/>
            </w:pPr>
          </w:p>
        </w:tc>
      </w:tr>
      <w:tr w:rsidR="003D539C" w:rsidRPr="004F5522" w:rsidTr="007532BD">
        <w:tc>
          <w:tcPr>
            <w:tcW w:w="1256" w:type="dxa"/>
          </w:tcPr>
          <w:p w:rsidR="003D539C" w:rsidRPr="004F5522" w:rsidRDefault="003D539C" w:rsidP="007532BD">
            <w:pPr>
              <w:ind w:left="0"/>
            </w:pPr>
            <w:r>
              <w:t xml:space="preserve">9500 </w:t>
            </w:r>
          </w:p>
        </w:tc>
        <w:tc>
          <w:tcPr>
            <w:tcW w:w="2388" w:type="dxa"/>
          </w:tcPr>
          <w:p w:rsidR="003D539C" w:rsidRDefault="003D539C" w:rsidP="007532BD">
            <w:pPr>
              <w:ind w:left="0"/>
            </w:pPr>
            <w:r>
              <w:t>Investigation</w:t>
            </w:r>
          </w:p>
        </w:tc>
        <w:tc>
          <w:tcPr>
            <w:tcW w:w="6171" w:type="dxa"/>
          </w:tcPr>
          <w:p w:rsidR="003D539C" w:rsidRDefault="003D539C" w:rsidP="007532BD">
            <w:pPr>
              <w:ind w:left="0"/>
            </w:pPr>
            <w:r>
              <w:t>As noted above 9500 Investigation is different than 9200 Inspection.  An Inspection may lead to an Investigation.  Complaints may lead to an investigation when not resolved by the call center or inhouse complaint resolution</w:t>
            </w:r>
          </w:p>
        </w:tc>
      </w:tr>
      <w:tr w:rsidR="003D539C" w:rsidRPr="004F5522" w:rsidTr="007532BD">
        <w:tc>
          <w:tcPr>
            <w:tcW w:w="1256" w:type="dxa"/>
          </w:tcPr>
          <w:p w:rsidR="003D539C" w:rsidRPr="004F5522" w:rsidRDefault="003D539C" w:rsidP="007532BD">
            <w:pPr>
              <w:ind w:left="0"/>
            </w:pPr>
          </w:p>
        </w:tc>
        <w:tc>
          <w:tcPr>
            <w:tcW w:w="2388" w:type="dxa"/>
          </w:tcPr>
          <w:p w:rsidR="003D539C" w:rsidRDefault="003D539C" w:rsidP="007532BD">
            <w:pPr>
              <w:ind w:left="0"/>
            </w:pPr>
          </w:p>
        </w:tc>
        <w:tc>
          <w:tcPr>
            <w:tcW w:w="6171" w:type="dxa"/>
          </w:tcPr>
          <w:p w:rsidR="003D539C" w:rsidRDefault="003D539C" w:rsidP="007532BD">
            <w:pPr>
              <w:ind w:left="0"/>
            </w:pPr>
          </w:p>
        </w:tc>
      </w:tr>
      <w:tr w:rsidR="003D539C" w:rsidRPr="004F5522" w:rsidTr="007532BD">
        <w:tc>
          <w:tcPr>
            <w:tcW w:w="1256" w:type="dxa"/>
          </w:tcPr>
          <w:p w:rsidR="003D539C" w:rsidRPr="004F5522" w:rsidRDefault="003D539C" w:rsidP="007532BD">
            <w:pPr>
              <w:ind w:left="0"/>
            </w:pPr>
            <w:r>
              <w:t>9600</w:t>
            </w:r>
          </w:p>
        </w:tc>
        <w:tc>
          <w:tcPr>
            <w:tcW w:w="2388" w:type="dxa"/>
          </w:tcPr>
          <w:p w:rsidR="003D539C" w:rsidRDefault="003D539C" w:rsidP="007532BD">
            <w:pPr>
              <w:ind w:left="0"/>
            </w:pPr>
            <w:r>
              <w:t>Citation</w:t>
            </w:r>
          </w:p>
        </w:tc>
        <w:tc>
          <w:tcPr>
            <w:tcW w:w="6171" w:type="dxa"/>
          </w:tcPr>
          <w:p w:rsidR="003D539C" w:rsidRDefault="003D539C" w:rsidP="007532BD">
            <w:pPr>
              <w:ind w:left="0"/>
            </w:pPr>
            <w:r>
              <w:t xml:space="preserve">An investigation may lead to a citation or short of a citation and agreement with the recipient to affirm positive behavior.  An adjustment to terms of the award requires action under 9100.  </w:t>
            </w:r>
          </w:p>
        </w:tc>
      </w:tr>
      <w:tr w:rsidR="003D539C" w:rsidRPr="004F5522" w:rsidTr="007532BD">
        <w:tc>
          <w:tcPr>
            <w:tcW w:w="1256" w:type="dxa"/>
          </w:tcPr>
          <w:p w:rsidR="003D539C" w:rsidRPr="004F5522" w:rsidRDefault="003D539C" w:rsidP="007532BD">
            <w:pPr>
              <w:ind w:left="0"/>
            </w:pPr>
          </w:p>
        </w:tc>
        <w:tc>
          <w:tcPr>
            <w:tcW w:w="2388" w:type="dxa"/>
          </w:tcPr>
          <w:p w:rsidR="003D539C" w:rsidRDefault="003D539C" w:rsidP="007532BD">
            <w:pPr>
              <w:ind w:left="0"/>
            </w:pPr>
          </w:p>
        </w:tc>
        <w:tc>
          <w:tcPr>
            <w:tcW w:w="6171" w:type="dxa"/>
          </w:tcPr>
          <w:p w:rsidR="003D539C" w:rsidRDefault="003D539C" w:rsidP="007532BD">
            <w:pPr>
              <w:ind w:left="0"/>
            </w:pPr>
          </w:p>
        </w:tc>
      </w:tr>
      <w:tr w:rsidR="003D539C" w:rsidRPr="004F5522" w:rsidTr="007532BD">
        <w:tc>
          <w:tcPr>
            <w:tcW w:w="1256" w:type="dxa"/>
          </w:tcPr>
          <w:p w:rsidR="003D539C" w:rsidRPr="004F5522" w:rsidRDefault="003D539C" w:rsidP="007532BD">
            <w:pPr>
              <w:ind w:left="0"/>
            </w:pPr>
          </w:p>
        </w:tc>
        <w:tc>
          <w:tcPr>
            <w:tcW w:w="2388" w:type="dxa"/>
          </w:tcPr>
          <w:p w:rsidR="003D539C" w:rsidRDefault="003D539C" w:rsidP="007532BD">
            <w:pPr>
              <w:ind w:left="0"/>
            </w:pPr>
          </w:p>
        </w:tc>
        <w:tc>
          <w:tcPr>
            <w:tcW w:w="6171" w:type="dxa"/>
          </w:tcPr>
          <w:p w:rsidR="003D539C" w:rsidRDefault="003D539C" w:rsidP="007532BD">
            <w:pPr>
              <w:ind w:left="0"/>
            </w:pPr>
          </w:p>
        </w:tc>
      </w:tr>
      <w:tr w:rsidR="003D539C" w:rsidRPr="004F5522" w:rsidTr="007532BD">
        <w:tc>
          <w:tcPr>
            <w:tcW w:w="1256" w:type="dxa"/>
          </w:tcPr>
          <w:p w:rsidR="003D539C" w:rsidRPr="004F5522" w:rsidRDefault="003D539C" w:rsidP="007532BD">
            <w:pPr>
              <w:ind w:left="0"/>
            </w:pPr>
            <w:r w:rsidRPr="004F5522">
              <w:lastRenderedPageBreak/>
              <w:t>9</w:t>
            </w:r>
            <w:r>
              <w:t>7</w:t>
            </w:r>
            <w:r w:rsidRPr="004F5522">
              <w:t xml:space="preserve">00 </w:t>
            </w:r>
          </w:p>
        </w:tc>
        <w:tc>
          <w:tcPr>
            <w:tcW w:w="2388" w:type="dxa"/>
          </w:tcPr>
          <w:p w:rsidR="003D539C" w:rsidRPr="004F5522" w:rsidRDefault="003D539C" w:rsidP="007532BD">
            <w:pPr>
              <w:ind w:left="0"/>
            </w:pPr>
            <w:r>
              <w:t>Appeal</w:t>
            </w:r>
          </w:p>
        </w:tc>
        <w:tc>
          <w:tcPr>
            <w:tcW w:w="6171" w:type="dxa"/>
          </w:tcPr>
          <w:p w:rsidR="003D539C" w:rsidRDefault="003D539C" w:rsidP="007532BD">
            <w:pPr>
              <w:ind w:left="0"/>
            </w:pPr>
            <w:r>
              <w:t xml:space="preserve">This is a major category which typically gets little attention.  Each appeal is a </w:t>
            </w:r>
            <w:proofErr w:type="gramStart"/>
            <w:r>
              <w:t>case in itself</w:t>
            </w:r>
            <w:proofErr w:type="gramEnd"/>
            <w:r>
              <w:t xml:space="preserve">.  A separate appeal management system may be used rather than having a small module within a larger case management system.  Appeals may require scheduling </w:t>
            </w:r>
            <w:proofErr w:type="spellStart"/>
            <w:r>
              <w:t>inperson</w:t>
            </w:r>
            <w:proofErr w:type="spellEnd"/>
            <w:r>
              <w:t xml:space="preserve"> meetings that are not typically part of a licensing system.</w:t>
            </w:r>
          </w:p>
          <w:p w:rsidR="003D539C" w:rsidRPr="004F5522" w:rsidRDefault="003D539C" w:rsidP="007532BD">
            <w:pPr>
              <w:ind w:left="0"/>
            </w:pPr>
          </w:p>
        </w:tc>
      </w:tr>
      <w:tr w:rsidR="003D539C" w:rsidRPr="004F5522" w:rsidTr="007532BD">
        <w:tc>
          <w:tcPr>
            <w:tcW w:w="1256" w:type="dxa"/>
          </w:tcPr>
          <w:p w:rsidR="003D539C" w:rsidRPr="004F5522" w:rsidRDefault="003D539C" w:rsidP="007532BD">
            <w:pPr>
              <w:ind w:left="0"/>
            </w:pPr>
            <w:r w:rsidRPr="004F5522">
              <w:t>9</w:t>
            </w:r>
            <w:r>
              <w:t>72</w:t>
            </w:r>
            <w:r w:rsidRPr="004F5522">
              <w:t>0</w:t>
            </w:r>
          </w:p>
        </w:tc>
        <w:tc>
          <w:tcPr>
            <w:tcW w:w="2388" w:type="dxa"/>
          </w:tcPr>
          <w:p w:rsidR="003D539C" w:rsidRPr="004F5522" w:rsidRDefault="003D539C" w:rsidP="007532BD">
            <w:pPr>
              <w:ind w:left="0"/>
            </w:pPr>
            <w:r>
              <w:t>Schedule</w:t>
            </w:r>
          </w:p>
        </w:tc>
        <w:tc>
          <w:tcPr>
            <w:tcW w:w="6171" w:type="dxa"/>
          </w:tcPr>
          <w:p w:rsidR="003D539C" w:rsidRPr="004F5522" w:rsidRDefault="003D539C" w:rsidP="007532BD">
            <w:pPr>
              <w:ind w:left="0"/>
            </w:pPr>
            <w:r>
              <w:t>Scheduling is a major category that typically gets little attention.  The DMV is a notable example of a licensing program where Scheduling is required.  Breakdowns in the scheduling process has undermined the credibility of the entire organization and system even though overall licensing and registration do many things well even with older technology.</w:t>
            </w:r>
          </w:p>
        </w:tc>
      </w:tr>
      <w:tr w:rsidR="003D539C" w:rsidRPr="004F5522" w:rsidTr="007532BD">
        <w:tc>
          <w:tcPr>
            <w:tcW w:w="1256" w:type="dxa"/>
          </w:tcPr>
          <w:p w:rsidR="003D539C" w:rsidRPr="004F5522" w:rsidRDefault="003D539C" w:rsidP="007532BD">
            <w:pPr>
              <w:ind w:left="0"/>
            </w:pPr>
          </w:p>
        </w:tc>
        <w:tc>
          <w:tcPr>
            <w:tcW w:w="2388" w:type="dxa"/>
          </w:tcPr>
          <w:p w:rsidR="003D539C" w:rsidRPr="004F5522" w:rsidRDefault="003D539C" w:rsidP="007532BD">
            <w:pPr>
              <w:ind w:left="0"/>
            </w:pPr>
          </w:p>
        </w:tc>
        <w:tc>
          <w:tcPr>
            <w:tcW w:w="6171" w:type="dxa"/>
          </w:tcPr>
          <w:p w:rsidR="003D539C" w:rsidRPr="004F5522" w:rsidRDefault="003D539C" w:rsidP="007532BD">
            <w:pPr>
              <w:ind w:left="0"/>
            </w:pPr>
          </w:p>
        </w:tc>
      </w:tr>
      <w:tr w:rsidR="003D539C" w:rsidRPr="004F5522" w:rsidTr="007532BD">
        <w:tc>
          <w:tcPr>
            <w:tcW w:w="1256" w:type="dxa"/>
          </w:tcPr>
          <w:p w:rsidR="003D539C" w:rsidRDefault="003D539C" w:rsidP="007532BD">
            <w:pPr>
              <w:ind w:left="0"/>
            </w:pPr>
          </w:p>
        </w:tc>
        <w:tc>
          <w:tcPr>
            <w:tcW w:w="2388" w:type="dxa"/>
          </w:tcPr>
          <w:p w:rsidR="003D539C" w:rsidRDefault="003D539C" w:rsidP="007532BD">
            <w:pPr>
              <w:ind w:left="0"/>
            </w:pPr>
          </w:p>
        </w:tc>
        <w:tc>
          <w:tcPr>
            <w:tcW w:w="6171" w:type="dxa"/>
          </w:tcPr>
          <w:p w:rsidR="003D539C" w:rsidRPr="004F5522" w:rsidRDefault="003D539C" w:rsidP="007532BD">
            <w:pPr>
              <w:ind w:left="0"/>
            </w:pPr>
          </w:p>
        </w:tc>
      </w:tr>
      <w:tr w:rsidR="003D539C" w:rsidRPr="004F5522" w:rsidTr="007532BD">
        <w:tc>
          <w:tcPr>
            <w:tcW w:w="1256" w:type="dxa"/>
          </w:tcPr>
          <w:p w:rsidR="003D539C" w:rsidRDefault="003D539C" w:rsidP="007532BD">
            <w:pPr>
              <w:ind w:left="0"/>
            </w:pPr>
            <w:r>
              <w:t>9740</w:t>
            </w:r>
          </w:p>
        </w:tc>
        <w:tc>
          <w:tcPr>
            <w:tcW w:w="2388" w:type="dxa"/>
          </w:tcPr>
          <w:p w:rsidR="003D539C" w:rsidRDefault="003D539C" w:rsidP="007532BD">
            <w:pPr>
              <w:ind w:left="0"/>
            </w:pPr>
            <w:r>
              <w:t>Conduct Appeal hearing</w:t>
            </w:r>
          </w:p>
        </w:tc>
        <w:tc>
          <w:tcPr>
            <w:tcW w:w="6171" w:type="dxa"/>
          </w:tcPr>
          <w:p w:rsidR="003D539C" w:rsidRPr="004F5522" w:rsidRDefault="003D539C" w:rsidP="007532BD">
            <w:pPr>
              <w:ind w:left="0"/>
            </w:pPr>
          </w:p>
        </w:tc>
      </w:tr>
      <w:tr w:rsidR="003D539C" w:rsidRPr="004F5522" w:rsidTr="007532BD">
        <w:tc>
          <w:tcPr>
            <w:tcW w:w="1256" w:type="dxa"/>
          </w:tcPr>
          <w:p w:rsidR="003D539C" w:rsidRDefault="003D539C" w:rsidP="007532BD">
            <w:pPr>
              <w:ind w:left="0"/>
            </w:pPr>
            <w:r>
              <w:t>9800</w:t>
            </w:r>
          </w:p>
        </w:tc>
        <w:tc>
          <w:tcPr>
            <w:tcW w:w="2388" w:type="dxa"/>
          </w:tcPr>
          <w:p w:rsidR="003D539C" w:rsidRDefault="003D539C" w:rsidP="007532BD">
            <w:pPr>
              <w:ind w:left="0"/>
            </w:pPr>
            <w:r>
              <w:t>Decision on Appeal</w:t>
            </w:r>
          </w:p>
        </w:tc>
        <w:tc>
          <w:tcPr>
            <w:tcW w:w="6171" w:type="dxa"/>
          </w:tcPr>
          <w:p w:rsidR="003D539C" w:rsidRPr="004F5522" w:rsidRDefault="003D539C" w:rsidP="007532BD">
            <w:pPr>
              <w:ind w:left="0"/>
            </w:pPr>
          </w:p>
        </w:tc>
      </w:tr>
      <w:tr w:rsidR="003D539C" w:rsidRPr="004F5522" w:rsidTr="007532BD">
        <w:tc>
          <w:tcPr>
            <w:tcW w:w="1256" w:type="dxa"/>
          </w:tcPr>
          <w:p w:rsidR="003D539C" w:rsidRDefault="003D539C" w:rsidP="007532BD">
            <w:pPr>
              <w:ind w:left="0"/>
            </w:pPr>
            <w:r>
              <w:t>9900</w:t>
            </w:r>
          </w:p>
        </w:tc>
        <w:tc>
          <w:tcPr>
            <w:tcW w:w="2388" w:type="dxa"/>
          </w:tcPr>
          <w:p w:rsidR="003D539C" w:rsidRDefault="003D539C" w:rsidP="007532BD">
            <w:pPr>
              <w:ind w:left="0"/>
            </w:pPr>
            <w:r>
              <w:t>Actions based on Appeal Decision</w:t>
            </w:r>
          </w:p>
        </w:tc>
        <w:tc>
          <w:tcPr>
            <w:tcW w:w="6171" w:type="dxa"/>
          </w:tcPr>
          <w:p w:rsidR="003D539C" w:rsidRPr="004F5522" w:rsidRDefault="003D539C" w:rsidP="007532BD">
            <w:pPr>
              <w:ind w:left="0"/>
            </w:pPr>
            <w:r>
              <w:t>Where do we do refer for criminal action? Blackballed/suspended/on probation</w:t>
            </w:r>
          </w:p>
        </w:tc>
      </w:tr>
    </w:tbl>
    <w:p w:rsidR="00D717FE" w:rsidRDefault="00D717FE">
      <w:bookmarkStart w:id="0" w:name="_GoBack"/>
      <w:bookmarkEnd w:id="0"/>
    </w:p>
    <w:sectPr w:rsidR="00D71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39C"/>
    <w:rsid w:val="003D539C"/>
    <w:rsid w:val="00D71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524210-E07E-4697-A19C-5B34AA663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539C"/>
    <w:pPr>
      <w:ind w:left="144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3D539C"/>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D5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V. Williamson</dc:creator>
  <cp:keywords/>
  <dc:description/>
  <cp:lastModifiedBy>Stephen V. Williamson</cp:lastModifiedBy>
  <cp:revision>1</cp:revision>
  <dcterms:created xsi:type="dcterms:W3CDTF">2019-04-27T01:40:00Z</dcterms:created>
  <dcterms:modified xsi:type="dcterms:W3CDTF">2019-04-27T01:41:00Z</dcterms:modified>
</cp:coreProperties>
</file>