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color w:val="1A1C24"/>
          <w:sz w:val="30"/>
        </w:rPr>
        <w:t>studiOS</w:t>
      </w:r>
    </w:p>
    <w:p>
      <w:pPr>
        <w:spacing w:after="320"/>
      </w:pPr>
      <w:r>
        <w:rPr>
          <w:rFonts w:ascii="Calibri" w:hAnsi="Calibri"/>
          <w:b/>
          <w:color w:val="2E3192"/>
          <w:sz w:val="16"/>
        </w:rPr>
        <w:t>REVISIÓN INTERNA  ·  4 DE AGOSTO DE 2026</w:t>
      </w:r>
    </w:p>
    <w:p>
      <w:pPr>
        <w:spacing w:after="40"/>
      </w:pPr>
      <w:r>
        <w:rPr>
          <w:rFonts w:ascii="Calibri" w:hAnsi="Calibri"/>
          <w:b/>
          <w:color w:val="1A1C24"/>
          <w:sz w:val="48"/>
        </w:rPr>
        <w:t>Revisión del presupuesto</w:t>
      </w:r>
    </w:p>
    <w:p>
      <w:pPr>
        <w:spacing w:after="60"/>
      </w:pPr>
      <w:r>
        <w:rPr>
          <w:rFonts w:ascii="Calibri" w:hAnsi="Calibri"/>
          <w:color w:val="2E3192"/>
          <w:sz w:val="24"/>
        </w:rPr>
        <w:t>Sistema de Gestión Integral · Cooperativa Frutihortícola Mercado San Miguel</w:t>
      </w:r>
    </w:p>
    <w:p>
      <w:pPr>
        <w:pBdr>
          <w:bottom w:val="single" w:sz="6" w:space="4" w:color="D8DCE8"/>
        </w:pBdr>
        <w:spacing w:before="0" w:after="280" w:line="293" w:lineRule="auto"/>
      </w:pPr>
      <w:r>
        <w:rPr>
          <w:rFonts w:ascii="Calibri" w:hAnsi="Calibri"/>
          <w:b w:val="0"/>
          <w:i w:val="0"/>
          <w:color w:val="6B7080"/>
          <w:sz w:val="20"/>
        </w:rPr>
        <w:t>Malagueño, Provincia de Córdoba</w:t>
      </w:r>
    </w:p>
    <w:tbl>
      <w:tblPr>
        <w:tblW w:type="auto" w:w="0"/>
        <w:tblBorders>
          <w:top w:val="single" w:sz="4" w:space="0" w:color="D8DCE8"/>
          <w:left w:val="none" w:sz="0" w:space="0" w:color="auto"/>
          <w:bottom w:val="single" w:sz="4" w:space="0" w:color="D8DCE8"/>
          <w:right w:val="none" w:sz="0" w:space="0" w:color="auto"/>
          <w:insideH w:val="single" w:sz="4" w:space="0" w:color="D8DCE8"/>
          <w:insideV w:val="none" w:sz="0" w:space="0" w:color="auto"/>
        </w:tblBorders>
        <w:tblLayout w:type="fixed"/>
        <w:tblCellMar>
          <w:top w:w="90" w:type="dxa"/>
          <w:left w:w="60" w:type="dxa"/>
          <w:bottom w:w="90" w:type="dxa"/>
          <w:right w:w="60" w:type="dxa"/>
        </w:tblCellMar>
        <w:tblLook w:firstColumn="1" w:firstRow="1" w:lastColumn="0" w:lastRow="0" w:noHBand="0" w:noVBand="1" w:val="04A0"/>
      </w:tblPr>
      <w:tblGrid>
        <w:gridCol w:w="4759"/>
        <w:gridCol w:w="4759"/>
      </w:tblGrid>
      <w:tr>
        <w:tc>
          <w:tcPr>
            <w:tcW w:type="dxa" w:w="4535"/>
            <w:shd w:val="clear" w:color="auto" w:fill="2E3192"/>
          </w:tcPr>
          <w:p>
            <w:pPr>
              <w:spacing w:before="0" w:after="0"/>
            </w:pPr>
            <w:r/>
            <w:r>
              <w:rPr>
                <w:rFonts w:ascii="Calibri" w:hAnsi="Calibri"/>
                <w:b/>
                <w:color w:val="FFFFFF"/>
                <w:sz w:val="18"/>
              </w:rPr>
              <w:t>DOCUMENTO REVISADO</w:t>
            </w:r>
          </w:p>
        </w:tc>
        <w:tc>
          <w:tcPr>
            <w:tcW w:type="dxa" w:w="4762"/>
            <w:shd w:val="clear" w:color="auto" w:fill="2E3192"/>
          </w:tcPr>
          <w:p>
            <w:pPr>
              <w:spacing w:before="0" w:after="0"/>
            </w:pPr>
            <w:r/>
            <w:r>
              <w:rPr>
                <w:rFonts w:ascii="Calibri" w:hAnsi="Calibri"/>
                <w:b/>
                <w:color w:val="FFFFFF"/>
                <w:sz w:val="18"/>
              </w:rPr>
              <w:t>FUENTES CRUZADAS</w:t>
            </w:r>
          </w:p>
        </w:tc>
      </w:tr>
      <w:tr>
        <w:tc>
          <w:tcPr>
            <w:tcW w:type="dxa" w:w="4535"/>
          </w:tcPr>
          <w:p>
            <w:pPr>
              <w:spacing w:before="0" w:after="0"/>
            </w:pPr>
            <w:r/>
            <w:r>
              <w:rPr>
                <w:rFonts w:ascii="Calibri" w:hAnsi="Calibri"/>
                <w:b/>
                <w:color w:val="1A1C24"/>
                <w:sz w:val="19"/>
              </w:rPr>
              <w:t>Presupuesto-Mercado-San-Miguel-studiOS.pdf</w:t>
              <w:br/>
              <w:t>3 páginas · 4 de agosto de 2026</w:t>
            </w:r>
          </w:p>
        </w:tc>
        <w:tc>
          <w:tcPr>
            <w:tcW w:type="dxa" w:w="4762"/>
          </w:tcPr>
          <w:p>
            <w:pPr>
              <w:spacing w:before="0" w:after="0"/>
            </w:pPr>
            <w:r/>
            <w:r>
              <w:rPr>
                <w:rFonts w:ascii="Calibri" w:hAnsi="Calibri"/>
                <w:b w:val="0"/>
                <w:color w:val="1A1C24"/>
                <w:sz w:val="19"/>
              </w:rPr>
              <w:t>Transcripción de la reunión de relevamiento del 24/07/2026</w:t>
              <w:br/>
              <w:t>Seed de datos del sistema</w:t>
            </w:r>
          </w:p>
        </w:tc>
      </w:tr>
    </w:tbl>
    <w:p>
      <w:pPr>
        <w:spacing w:before="0" w:after="80" w:line="293" w:lineRule="auto"/>
      </w:pPr>
    </w:p>
    <w:p>
      <w:pPr>
        <w:pBdr>
          <w:left w:val="single" w:sz="20" w:space="10" w:color="2E3192"/>
        </w:pBdr>
        <w:shd w:val="clear" w:color="auto" w:fill="F3F5FA"/>
        <w:spacing w:before="200" w:after="80" w:line="293" w:lineRule="auto"/>
        <w:ind w:left="255"/>
      </w:pPr>
      <w:r>
        <w:rPr>
          <w:rFonts w:ascii="Calibri" w:hAnsi="Calibri"/>
          <w:b/>
          <w:color w:val="1A1C24"/>
          <w:sz w:val="21"/>
        </w:rPr>
        <w:t xml:space="preserve">Veredicto. </w:t>
      </w:r>
      <w:r>
        <w:rPr>
          <w:rFonts w:ascii="Calibri" w:hAnsi="Calibri"/>
          <w:b w:val="0"/>
          <w:color w:val="1A1C24"/>
          <w:sz w:val="21"/>
        </w:rPr>
        <w:t>El documento está muy bien construido y la estructura comercial es la correcta. El precio está por debajo de mercado y el contrato tiene agujeros que pueden salir caros. El problema de fondo no es el número: es el reparto de riesgo. Todo el trabajo está adelante y toda la facturación atrás, sin cláusulas que sostengan esa asimetría.</w:t>
      </w:r>
    </w:p>
    <w:p>
      <w:pPr>
        <w:keepNext/>
        <w:pBdr>
          <w:bottom w:val="single" w:sz="6" w:space="4" w:color="D8DCE8"/>
        </w:pBdr>
        <w:spacing w:before="440" w:after="40"/>
      </w:pPr>
      <w:r>
        <w:rPr>
          <w:rFonts w:ascii="Calibri" w:hAnsi="Calibri"/>
          <w:b/>
          <w:color w:val="2E3192"/>
          <w:sz w:val="20"/>
        </w:rPr>
        <w:t xml:space="preserve">01   </w:t>
      </w:r>
      <w:r>
        <w:rPr>
          <w:rFonts w:ascii="Calibri" w:hAnsi="Calibri"/>
          <w:b/>
          <w:color w:val="1A1C24"/>
          <w:sz w:val="23"/>
        </w:rPr>
        <w:t>LO QUE ESTÁ BIEN</w:t>
      </w:r>
    </w:p>
    <w:p>
      <w:pPr>
        <w:spacing w:before="80" w:after="140" w:line="293" w:lineRule="auto"/>
      </w:pPr>
      <w:r>
        <w:rPr>
          <w:rFonts w:ascii="Calibri" w:hAnsi="Calibri"/>
          <w:b w:val="0"/>
          <w:i w:val="0"/>
          <w:color w:val="1A1C24"/>
          <w:sz w:val="21"/>
        </w:rPr>
        <w:t>La sección 02 es lo mejor del documento. La frase «lo que resta no es terminar pantallas» desarma de entrada la objeción clásica del consejo: «pero si ya lo vimos funcionando». Los siete frentes explican por qué una demostración no es un sistema, sin tecnicismos y sin ponerse a la defensiva. El recuadro sobre pruebas automatizadas es honesto y está bien colocado.</w:t>
      </w:r>
    </w:p>
    <w:p>
      <w:pPr>
        <w:spacing w:before="0" w:after="140" w:line="293" w:lineRule="auto"/>
      </w:pPr>
      <w:r>
        <w:rPr>
          <w:rFonts w:ascii="Calibri" w:hAnsi="Calibri"/>
          <w:b w:val="0"/>
          <w:i w:val="0"/>
          <w:color w:val="1A1C24"/>
          <w:sz w:val="21"/>
        </w:rPr>
        <w:t>La estructura comercial coincide exactamente con lo que Franco anticipó por su cuenta en la reunión, en el minuto 25:</w:t>
      </w:r>
    </w:p>
    <w:p>
      <w:pPr>
        <w:pBdr>
          <w:left w:val="single" w:sz="14" w:space="10" w:color="2E3192"/>
        </w:pBdr>
        <w:spacing w:before="160" w:after="40" w:line="293" w:lineRule="auto"/>
        <w:ind w:left="340"/>
      </w:pPr>
      <w:r>
        <w:rPr>
          <w:rFonts w:ascii="Calibri" w:hAnsi="Calibri"/>
          <w:b w:val="0"/>
          <w:i/>
          <w:color w:val="333848"/>
          <w:sz w:val="21"/>
        </w:rPr>
        <w:t>"tendría como en el bar un cobro al principio y después una mantención mensual, y tendríamos que pagar aparte lo que es la nube"</w:t>
      </w:r>
    </w:p>
    <w:p>
      <w:pPr>
        <w:spacing w:before="0" w:after="200" w:line="293" w:lineRule="auto"/>
        <w:ind w:left="340"/>
      </w:pPr>
      <w:r>
        <w:rPr>
          <w:rFonts w:ascii="Calibri" w:hAnsi="Calibri"/>
          <w:b w:val="0"/>
          <w:i w:val="0"/>
          <w:color w:val="6B7080"/>
          <w:sz w:val="18"/>
        </w:rPr>
        <w:t>Franco Delucchi · reunión del 24 de julio de 2026</w:t>
      </w:r>
    </w:p>
    <w:p>
      <w:pPr>
        <w:spacing w:before="0" w:after="140" w:line="293" w:lineRule="auto"/>
      </w:pPr>
      <w:r>
        <w:rPr>
          <w:rFonts w:ascii="Calibri" w:hAnsi="Calibri"/>
          <w:b w:val="0"/>
          <w:color w:val="1A1C24"/>
          <w:sz w:val="21"/>
        </w:rPr>
        <w:t xml:space="preserve">No va a haber fricción estructural: cobro inicial, abono mensual e infraestructura aparte es precisamente el modelo que él ya tenía en la cabeza. Pero atención a ese </w:t>
      </w:r>
      <w:r>
        <w:rPr>
          <w:rFonts w:ascii="Calibri" w:hAnsi="Calibri"/>
          <w:b/>
          <w:color w:val="1A1C24"/>
          <w:sz w:val="21"/>
        </w:rPr>
        <w:t>«como en el bar»</w:t>
      </w:r>
      <w:r>
        <w:rPr>
          <w:rFonts w:ascii="Calibri" w:hAnsi="Calibri"/>
          <w:b w:val="0"/>
          <w:color w:val="1A1C24"/>
          <w:sz w:val="21"/>
        </w:rPr>
        <w:t>: Franco tiene un ancla de precio tomada de otro sistema.</w:t>
      </w:r>
    </w:p>
    <w:p>
      <w:pPr>
        <w:pBdr>
          <w:left w:val="single" w:sz="20" w:space="10" w:color="B4841C"/>
        </w:pBdr>
        <w:shd w:val="clear" w:color="auto" w:fill="FFF8E8"/>
        <w:spacing w:before="160" w:after="200" w:line="293" w:lineRule="auto"/>
        <w:ind w:left="255"/>
      </w:pPr>
      <w:r>
        <w:rPr>
          <w:rFonts w:ascii="Calibri" w:hAnsi="Calibri"/>
          <w:b/>
          <w:color w:val="1A1C24"/>
          <w:sz w:val="21"/>
        </w:rPr>
        <w:t xml:space="preserve">Acción previa al envío. </w:t>
      </w:r>
      <w:r>
        <w:rPr>
          <w:rFonts w:ascii="Calibri" w:hAnsi="Calibri"/>
          <w:b w:val="0"/>
          <w:color w:val="1A1C24"/>
          <w:sz w:val="21"/>
        </w:rPr>
        <w:t>Preguntarle a Franco cuánto paga por el sistema del bar. Es el número contra el que va a comparar este presupuesto, y hoy no se conoce.</w:t>
      </w:r>
    </w:p>
    <w:p>
      <w:pPr>
        <w:keepNext/>
        <w:pBdr>
          <w:bottom w:val="single" w:sz="6" w:space="4" w:color="D8DCE8"/>
        </w:pBdr>
        <w:spacing w:before="440" w:after="40"/>
      </w:pPr>
      <w:r>
        <w:rPr>
          <w:rFonts w:ascii="Calibri" w:hAnsi="Calibri"/>
          <w:b/>
          <w:color w:val="2E3192"/>
          <w:sz w:val="20"/>
        </w:rPr>
        <w:t xml:space="preserve">02   </w:t>
      </w:r>
      <w:r>
        <w:rPr>
          <w:rFonts w:ascii="Calibri" w:hAnsi="Calibri"/>
          <w:b/>
          <w:color w:val="1A1C24"/>
          <w:sz w:val="23"/>
        </w:rPr>
        <w:t>EL PRECIO ESTÁ POR DEBAJO DE MERCADO</w:t>
      </w:r>
    </w:p>
    <w:p>
      <w:pPr>
        <w:spacing w:before="80" w:after="140" w:line="293" w:lineRule="auto"/>
      </w:pPr>
      <w:r>
        <w:rPr>
          <w:rFonts w:ascii="Calibri" w:hAnsi="Calibri"/>
          <w:b w:val="0"/>
          <w:i w:val="0"/>
          <w:color w:val="1A1C24"/>
          <w:sz w:val="21"/>
        </w:rPr>
        <w:t>Los números publicados en el propio documento, desagregados:</w:t>
      </w:r>
    </w:p>
    <w:tbl>
      <w:tblPr>
        <w:tblW w:type="auto" w:w="0"/>
        <w:tblBorders>
          <w:top w:val="single" w:sz="4" w:space="0" w:color="D8DCE8"/>
          <w:left w:val="none" w:sz="0" w:space="0" w:color="auto"/>
          <w:bottom w:val="single" w:sz="4" w:space="0" w:color="D8DCE8"/>
          <w:right w:val="none" w:sz="0" w:space="0" w:color="auto"/>
          <w:insideH w:val="single" w:sz="4" w:space="0" w:color="D8DCE8"/>
          <w:insideV w:val="none" w:sz="0" w:space="0" w:color="auto"/>
        </w:tblBorders>
        <w:tblLayout w:type="fixed"/>
        <w:tblCellMar>
          <w:top w:w="90" w:type="dxa"/>
          <w:left w:w="60" w:type="dxa"/>
          <w:bottom w:w="90" w:type="dxa"/>
          <w:right w:w="60" w:type="dxa"/>
        </w:tblCellMar>
        <w:tblLook w:firstColumn="1" w:firstRow="1" w:lastColumn="0" w:lastRow="0" w:noHBand="0" w:noVBand="1" w:val="04A0"/>
      </w:tblPr>
      <w:tblGrid>
        <w:gridCol w:w="3173"/>
        <w:gridCol w:w="3173"/>
        <w:gridCol w:w="3173"/>
      </w:tblGrid>
      <w:tr>
        <w:tc>
          <w:tcPr>
            <w:tcW w:type="dxa" w:w="3969"/>
            <w:shd w:val="clear" w:color="auto" w:fill="2E3192"/>
          </w:tcPr>
          <w:p>
            <w:pPr>
              <w:spacing w:before="0" w:after="0"/>
            </w:pPr>
            <w:r/>
            <w:r>
              <w:rPr>
                <w:rFonts w:ascii="Calibri" w:hAnsi="Calibri"/>
                <w:b/>
                <w:color w:val="FFFFFF"/>
                <w:sz w:val="18"/>
              </w:rPr>
            </w:r>
          </w:p>
        </w:tc>
        <w:tc>
          <w:tcPr>
            <w:tcW w:type="dxa" w:w="2835"/>
            <w:shd w:val="clear" w:color="auto" w:fill="2E3192"/>
          </w:tcPr>
          <w:p>
            <w:pPr>
              <w:spacing w:before="0" w:after="0"/>
              <w:jc w:val="right"/>
            </w:pPr>
            <w:r/>
            <w:r>
              <w:rPr>
                <w:rFonts w:ascii="Calibri" w:hAnsi="Calibri"/>
                <w:b/>
                <w:color w:val="FFFFFF"/>
                <w:sz w:val="18"/>
              </w:rPr>
              <w:t>Opción A (recomendada)</w:t>
            </w:r>
          </w:p>
        </w:tc>
        <w:tc>
          <w:tcPr>
            <w:tcW w:type="dxa" w:w="2494"/>
            <w:shd w:val="clear" w:color="auto" w:fill="2E3192"/>
          </w:tcPr>
          <w:p>
            <w:pPr>
              <w:spacing w:before="0" w:after="0"/>
              <w:jc w:val="right"/>
            </w:pPr>
            <w:r/>
            <w:r>
              <w:rPr>
                <w:rFonts w:ascii="Calibri" w:hAnsi="Calibri"/>
                <w:b/>
                <w:color w:val="FFFFFF"/>
                <w:sz w:val="18"/>
              </w:rPr>
              <w:t>Opción B</w:t>
            </w:r>
          </w:p>
        </w:tc>
      </w:tr>
      <w:tr>
        <w:tc>
          <w:tcPr>
            <w:tcW w:type="dxa" w:w="3969"/>
          </w:tcPr>
          <w:p>
            <w:pPr>
              <w:spacing w:before="0" w:after="0"/>
            </w:pPr>
            <w:r/>
            <w:r>
              <w:rPr>
                <w:rFonts w:ascii="Calibri" w:hAnsi="Calibri"/>
                <w:b/>
                <w:color w:val="1A1C24"/>
                <w:sz w:val="19"/>
              </w:rPr>
              <w:t>Implementación · pago único</w:t>
            </w:r>
          </w:p>
        </w:tc>
        <w:tc>
          <w:tcPr>
            <w:tcW w:type="dxa" w:w="2835"/>
          </w:tcPr>
          <w:p>
            <w:pPr>
              <w:spacing w:before="0" w:after="0"/>
              <w:jc w:val="right"/>
            </w:pPr>
            <w:r/>
            <w:r>
              <w:rPr>
                <w:rFonts w:ascii="Calibri" w:hAnsi="Calibri"/>
                <w:b w:val="0"/>
                <w:color w:val="1A1C24"/>
                <w:sz w:val="19"/>
              </w:rPr>
              <w:t>USD 3.000</w:t>
            </w:r>
          </w:p>
        </w:tc>
        <w:tc>
          <w:tcPr>
            <w:tcW w:type="dxa" w:w="2494"/>
          </w:tcPr>
          <w:p>
            <w:pPr>
              <w:spacing w:before="0" w:after="0"/>
              <w:jc w:val="right"/>
            </w:pPr>
            <w:r/>
            <w:r>
              <w:rPr>
                <w:rFonts w:ascii="Calibri" w:hAnsi="Calibri"/>
                <w:b w:val="0"/>
                <w:color w:val="1A1C24"/>
                <w:sz w:val="19"/>
              </w:rPr>
              <w:t>USD 1.500</w:t>
            </w:r>
          </w:p>
        </w:tc>
      </w:tr>
      <w:tr>
        <w:tc>
          <w:tcPr>
            <w:tcW w:type="dxa" w:w="3969"/>
          </w:tcPr>
          <w:p>
            <w:pPr>
              <w:spacing w:before="0" w:after="0"/>
            </w:pPr>
            <w:r/>
            <w:r>
              <w:rPr>
                <w:rFonts w:ascii="Calibri" w:hAnsi="Calibri"/>
                <w:b/>
                <w:color w:val="1A1C24"/>
                <w:sz w:val="19"/>
              </w:rPr>
              <w:t>Abono mensual</w:t>
            </w:r>
          </w:p>
        </w:tc>
        <w:tc>
          <w:tcPr>
            <w:tcW w:type="dxa" w:w="2835"/>
          </w:tcPr>
          <w:p>
            <w:pPr>
              <w:spacing w:before="0" w:after="0"/>
              <w:jc w:val="right"/>
            </w:pPr>
            <w:r/>
            <w:r>
              <w:rPr>
                <w:rFonts w:ascii="Calibri" w:hAnsi="Calibri"/>
                <w:b w:val="0"/>
                <w:color w:val="1A1C24"/>
                <w:sz w:val="19"/>
              </w:rPr>
              <w:t>USD 650</w:t>
            </w:r>
          </w:p>
        </w:tc>
        <w:tc>
          <w:tcPr>
            <w:tcW w:type="dxa" w:w="2494"/>
          </w:tcPr>
          <w:p>
            <w:pPr>
              <w:spacing w:before="0" w:after="0"/>
              <w:jc w:val="right"/>
            </w:pPr>
            <w:r/>
            <w:r>
              <w:rPr>
                <w:rFonts w:ascii="Calibri" w:hAnsi="Calibri"/>
                <w:b w:val="0"/>
                <w:color w:val="1A1C24"/>
                <w:sz w:val="19"/>
              </w:rPr>
              <w:t>USD 800</w:t>
            </w:r>
          </w:p>
        </w:tc>
      </w:tr>
      <w:tr>
        <w:tc>
          <w:tcPr>
            <w:tcW w:type="dxa" w:w="3969"/>
          </w:tcPr>
          <w:p>
            <w:pPr>
              <w:spacing w:before="0" w:after="0"/>
            </w:pPr>
            <w:r/>
            <w:r>
              <w:rPr>
                <w:rFonts w:ascii="Calibri" w:hAnsi="Calibri"/>
                <w:b/>
                <w:color w:val="1A1C24"/>
                <w:sz w:val="19"/>
              </w:rPr>
              <w:t>Permanencia mínima</w:t>
            </w:r>
          </w:p>
        </w:tc>
        <w:tc>
          <w:tcPr>
            <w:tcW w:type="dxa" w:w="2835"/>
          </w:tcPr>
          <w:p>
            <w:pPr>
              <w:spacing w:before="0" w:after="0"/>
              <w:jc w:val="right"/>
            </w:pPr>
            <w:r/>
            <w:r>
              <w:rPr>
                <w:rFonts w:ascii="Calibri" w:hAnsi="Calibri"/>
                <w:b w:val="0"/>
                <w:color w:val="1A1C24"/>
                <w:sz w:val="19"/>
              </w:rPr>
              <w:t>12 meses</w:t>
            </w:r>
          </w:p>
        </w:tc>
        <w:tc>
          <w:tcPr>
            <w:tcW w:type="dxa" w:w="2494"/>
          </w:tcPr>
          <w:p>
            <w:pPr>
              <w:spacing w:before="0" w:after="0"/>
              <w:jc w:val="right"/>
            </w:pPr>
            <w:r/>
            <w:r>
              <w:rPr>
                <w:rFonts w:ascii="Calibri" w:hAnsi="Calibri"/>
                <w:b w:val="0"/>
                <w:color w:val="1A1C24"/>
                <w:sz w:val="19"/>
              </w:rPr>
              <w:t>18 meses</w:t>
            </w:r>
          </w:p>
        </w:tc>
      </w:tr>
      <w:tr>
        <w:tc>
          <w:tcPr>
            <w:tcW w:type="dxa" w:w="3969"/>
          </w:tcPr>
          <w:p>
            <w:pPr>
              <w:spacing w:before="0" w:after="0"/>
            </w:pPr>
            <w:r/>
            <w:r>
              <w:rPr>
                <w:rFonts w:ascii="Calibri" w:hAnsi="Calibri"/>
                <w:b/>
                <w:color w:val="1A1C24"/>
                <w:sz w:val="19"/>
              </w:rPr>
              <w:t>Total al cumplir permanencia</w:t>
            </w:r>
          </w:p>
        </w:tc>
        <w:tc>
          <w:tcPr>
            <w:tcW w:type="dxa" w:w="2835"/>
          </w:tcPr>
          <w:p>
            <w:pPr>
              <w:spacing w:before="0" w:after="0"/>
              <w:jc w:val="right"/>
            </w:pPr>
            <w:r/>
            <w:r>
              <w:rPr>
                <w:rFonts w:ascii="Calibri" w:hAnsi="Calibri"/>
                <w:b w:val="0"/>
                <w:color w:val="1A1C24"/>
                <w:sz w:val="19"/>
              </w:rPr>
              <w:t>USD 10.800</w:t>
            </w:r>
          </w:p>
        </w:tc>
        <w:tc>
          <w:tcPr>
            <w:tcW w:type="dxa" w:w="2494"/>
          </w:tcPr>
          <w:p>
            <w:pPr>
              <w:spacing w:before="0" w:after="0"/>
              <w:jc w:val="right"/>
            </w:pPr>
            <w:r/>
            <w:r>
              <w:rPr>
                <w:rFonts w:ascii="Calibri" w:hAnsi="Calibri"/>
                <w:b w:val="0"/>
                <w:color w:val="1A1C24"/>
                <w:sz w:val="19"/>
              </w:rPr>
              <w:t>USD 15.900</w:t>
            </w:r>
          </w:p>
        </w:tc>
      </w:tr>
      <w:tr>
        <w:tc>
          <w:tcPr>
            <w:tcW w:type="dxa" w:w="3969"/>
          </w:tcPr>
          <w:p>
            <w:pPr>
              <w:spacing w:before="0" w:after="0"/>
            </w:pPr>
            <w:r/>
            <w:r>
              <w:rPr>
                <w:rFonts w:ascii="Calibri" w:hAnsi="Calibri"/>
                <w:b/>
                <w:color w:val="1A1C24"/>
                <w:sz w:val="19"/>
              </w:rPr>
              <w:t>Implementación ÷ horas (274–434)</w:t>
            </w:r>
          </w:p>
        </w:tc>
        <w:tc>
          <w:tcPr>
            <w:tcW w:type="dxa" w:w="2835"/>
          </w:tcPr>
          <w:p>
            <w:pPr>
              <w:spacing w:before="0" w:after="0"/>
              <w:jc w:val="right"/>
            </w:pPr>
            <w:r/>
            <w:r>
              <w:rPr>
                <w:rFonts w:ascii="Calibri" w:hAnsi="Calibri"/>
                <w:b w:val="0"/>
                <w:color w:val="1A1C24"/>
                <w:sz w:val="19"/>
              </w:rPr>
              <w:t>USD 6,9 – 10,9 / hora</w:t>
            </w:r>
          </w:p>
        </w:tc>
        <w:tc>
          <w:tcPr>
            <w:tcW w:type="dxa" w:w="2494"/>
          </w:tcPr>
          <w:p>
            <w:pPr>
              <w:spacing w:before="0" w:after="0"/>
              <w:jc w:val="right"/>
            </w:pPr>
            <w:r/>
            <w:r>
              <w:rPr>
                <w:rFonts w:ascii="Calibri" w:hAnsi="Calibri"/>
                <w:b w:val="0"/>
                <w:color w:val="1A1C24"/>
                <w:sz w:val="19"/>
              </w:rPr>
              <w:t>—</w:t>
            </w:r>
          </w:p>
        </w:tc>
      </w:tr>
    </w:tbl>
    <w:p>
      <w:pPr>
        <w:spacing w:before="160" w:after="140" w:line="293" w:lineRule="auto"/>
      </w:pPr>
      <w:r>
        <w:rPr>
          <w:rFonts w:ascii="Calibri" w:hAnsi="Calibri"/>
          <w:b w:val="0"/>
          <w:i w:val="0"/>
          <w:color w:val="1A1C24"/>
          <w:sz w:val="21"/>
        </w:rPr>
        <w:t>La opción A conviene al cliente desde el mes 10 en adelante (el punto de equilibrio entre ambas estructuras cae exactamente ahí), así que el sello «recomendada» es honesto. Eso está bien resuelto.</w:t>
      </w:r>
    </w:p>
    <w:p>
      <w:pPr>
        <w:spacing w:before="0" w:after="140" w:line="293" w:lineRule="auto"/>
      </w:pPr>
      <w:r>
        <w:rPr>
          <w:rFonts w:ascii="Calibri" w:hAnsi="Calibri"/>
          <w:b w:val="0"/>
          <w:color w:val="1A1C24"/>
          <w:sz w:val="21"/>
        </w:rPr>
        <w:t xml:space="preserve">El punto grave es otro. Si el abono arranca al terminar la marcha blanca, es decir el mes 4, el año 1 cierra en </w:t>
      </w:r>
      <w:r>
        <w:rPr>
          <w:rFonts w:ascii="Calibri" w:hAnsi="Calibri"/>
          <w:b/>
          <w:color w:val="1A1C24"/>
          <w:sz w:val="21"/>
        </w:rPr>
        <w:t>USD 8.850</w:t>
      </w:r>
      <w:r>
        <w:rPr>
          <w:rFonts w:ascii="Calibri" w:hAnsi="Calibri"/>
          <w:b w:val="0"/>
          <w:color w:val="1A1C24"/>
          <w:sz w:val="21"/>
        </w:rPr>
        <w:t xml:space="preserve"> por unas 354 horas de implementación más hasta 108 horas de soporte incluido: alrededor de </w:t>
      </w:r>
      <w:r>
        <w:rPr>
          <w:rFonts w:ascii="Calibri" w:hAnsi="Calibri"/>
          <w:b/>
          <w:color w:val="1A1C24"/>
          <w:sz w:val="21"/>
        </w:rPr>
        <w:t>USD 19 por hora</w:t>
      </w:r>
      <w:r>
        <w:rPr>
          <w:rFonts w:ascii="Calibri" w:hAnsi="Calibri"/>
          <w:b w:val="0"/>
          <w:color w:val="1A1C24"/>
          <w:sz w:val="21"/>
        </w:rPr>
        <w:t>. Además, el documento no aclara si los 12 meses de permanencia cuentan desde la firma o desde el primer abono. Según cómo se lea, los USD 10.800 recién se completan en el mes 15.</w:t>
      </w:r>
    </w:p>
    <w:p>
      <w:pPr>
        <w:keepNext/>
        <w:spacing w:before="240" w:after="60"/>
      </w:pPr>
      <w:r>
        <w:rPr>
          <w:rFonts w:ascii="Calibri" w:hAnsi="Calibri"/>
          <w:b/>
          <w:color w:val="2E3192"/>
          <w:sz w:val="21"/>
        </w:rPr>
        <w:t>Contra la escala real del cliente</w:t>
      </w:r>
    </w:p>
    <w:p>
      <w:pPr>
        <w:spacing w:before="0" w:after="140" w:line="293" w:lineRule="auto"/>
      </w:pPr>
      <w:r>
        <w:rPr>
          <w:rFonts w:ascii="Calibri" w:hAnsi="Calibri"/>
          <w:b w:val="0"/>
          <w:i w:val="0"/>
          <w:color w:val="1A1C24"/>
          <w:sz w:val="21"/>
        </w:rPr>
        <w:t>Franco aportó los números él mismo durante el relevamiento. Puestos en contexto, cambian por completo la lectura del precio:</w:t>
      </w:r>
    </w:p>
    <w:tbl>
      <w:tblPr>
        <w:tblW w:type="auto" w:w="0"/>
        <w:tblBorders>
          <w:top w:val="single" w:sz="4" w:space="0" w:color="D8DCE8"/>
          <w:left w:val="none" w:sz="0" w:space="0" w:color="auto"/>
          <w:bottom w:val="single" w:sz="4" w:space="0" w:color="D8DCE8"/>
          <w:right w:val="none" w:sz="0" w:space="0" w:color="auto"/>
          <w:insideH w:val="single" w:sz="4" w:space="0" w:color="D8DCE8"/>
          <w:insideV w:val="none" w:sz="0" w:space="0" w:color="auto"/>
        </w:tblBorders>
        <w:tblLayout w:type="fixed"/>
        <w:tblCellMar>
          <w:top w:w="90" w:type="dxa"/>
          <w:left w:w="60" w:type="dxa"/>
          <w:bottom w:w="90" w:type="dxa"/>
          <w:right w:w="60" w:type="dxa"/>
        </w:tblCellMar>
        <w:tblLook w:firstColumn="1" w:firstRow="1" w:lastColumn="0" w:lastRow="0" w:noHBand="0" w:noVBand="1" w:val="04A0"/>
      </w:tblPr>
      <w:tblGrid>
        <w:gridCol w:w="3173"/>
        <w:gridCol w:w="3173"/>
        <w:gridCol w:w="3173"/>
      </w:tblGrid>
      <w:tr>
        <w:tc>
          <w:tcPr>
            <w:tcW w:type="dxa" w:w="4649"/>
            <w:shd w:val="clear" w:color="auto" w:fill="2E3192"/>
          </w:tcPr>
          <w:p>
            <w:pPr>
              <w:spacing w:before="0" w:after="0"/>
            </w:pPr>
            <w:r/>
            <w:r>
              <w:rPr>
                <w:rFonts w:ascii="Calibri" w:hAnsi="Calibri"/>
                <w:b/>
                <w:color w:val="FFFFFF"/>
                <w:sz w:val="18"/>
              </w:rPr>
              <w:t>Dato</w:t>
            </w:r>
          </w:p>
        </w:tc>
        <w:tc>
          <w:tcPr>
            <w:tcW w:type="dxa" w:w="2268"/>
            <w:shd w:val="clear" w:color="auto" w:fill="2E3192"/>
          </w:tcPr>
          <w:p>
            <w:pPr>
              <w:spacing w:before="0" w:after="0"/>
              <w:jc w:val="right"/>
            </w:pPr>
            <w:r/>
            <w:r>
              <w:rPr>
                <w:rFonts w:ascii="Calibri" w:hAnsi="Calibri"/>
                <w:b/>
                <w:color w:val="FFFFFF"/>
                <w:sz w:val="18"/>
              </w:rPr>
              <w:t>Valor</w:t>
            </w:r>
          </w:p>
        </w:tc>
        <w:tc>
          <w:tcPr>
            <w:tcW w:type="dxa" w:w="2381"/>
            <w:shd w:val="clear" w:color="auto" w:fill="2E3192"/>
          </w:tcPr>
          <w:p>
            <w:pPr>
              <w:spacing w:before="0" w:after="0"/>
            </w:pPr>
            <w:r/>
            <w:r>
              <w:rPr>
                <w:rFonts w:ascii="Calibri" w:hAnsi="Calibri"/>
                <w:b/>
                <w:color w:val="FFFFFF"/>
                <w:sz w:val="18"/>
              </w:rPr>
              <w:t>Fuente</w:t>
            </w:r>
          </w:p>
        </w:tc>
      </w:tr>
      <w:tr>
        <w:tc>
          <w:tcPr>
            <w:tcW w:type="dxa" w:w="4649"/>
          </w:tcPr>
          <w:p>
            <w:pPr>
              <w:spacing w:before="0" w:after="0"/>
            </w:pPr>
            <w:r/>
            <w:r>
              <w:rPr>
                <w:rFonts w:ascii="Calibri" w:hAnsi="Calibri"/>
                <w:b/>
                <w:color w:val="1A1C24"/>
                <w:sz w:val="19"/>
              </w:rPr>
              <w:t>Cobranza mensual (solo expensas de puestos)</w:t>
            </w:r>
          </w:p>
        </w:tc>
        <w:tc>
          <w:tcPr>
            <w:tcW w:type="dxa" w:w="2268"/>
          </w:tcPr>
          <w:p>
            <w:pPr>
              <w:spacing w:before="0" w:after="0"/>
              <w:jc w:val="right"/>
            </w:pPr>
            <w:r/>
            <w:r>
              <w:rPr>
                <w:rFonts w:ascii="Calibri" w:hAnsi="Calibri"/>
                <w:b w:val="0"/>
                <w:color w:val="1A1C24"/>
                <w:sz w:val="19"/>
              </w:rPr>
              <w:t>$ 50.000.000</w:t>
            </w:r>
          </w:p>
        </w:tc>
        <w:tc>
          <w:tcPr>
            <w:tcW w:type="dxa" w:w="2381"/>
          </w:tcPr>
          <w:p>
            <w:pPr>
              <w:spacing w:before="0" w:after="0"/>
            </w:pPr>
            <w:r/>
            <w:r>
              <w:rPr>
                <w:rFonts w:ascii="Calibri" w:hAnsi="Calibri"/>
                <w:b w:val="0"/>
                <w:color w:val="1A1C24"/>
                <w:sz w:val="19"/>
              </w:rPr>
              <w:t>Franco · min. 28</w:t>
            </w:r>
          </w:p>
        </w:tc>
      </w:tr>
      <w:tr>
        <w:tc>
          <w:tcPr>
            <w:tcW w:type="dxa" w:w="4649"/>
          </w:tcPr>
          <w:p>
            <w:pPr>
              <w:spacing w:before="0" w:after="0"/>
            </w:pPr>
            <w:r/>
            <w:r>
              <w:rPr>
                <w:rFonts w:ascii="Calibri" w:hAnsi="Calibri"/>
                <w:b/>
                <w:color w:val="1A1C24"/>
                <w:sz w:val="19"/>
              </w:rPr>
              <w:t>Expensa de puesto</w:t>
            </w:r>
          </w:p>
        </w:tc>
        <w:tc>
          <w:tcPr>
            <w:tcW w:type="dxa" w:w="2268"/>
          </w:tcPr>
          <w:p>
            <w:pPr>
              <w:spacing w:before="0" w:after="0"/>
              <w:jc w:val="right"/>
            </w:pPr>
            <w:r/>
            <w:r>
              <w:rPr>
                <w:rFonts w:ascii="Calibri" w:hAnsi="Calibri"/>
                <w:b w:val="0"/>
                <w:color w:val="1A1C24"/>
                <w:sz w:val="19"/>
              </w:rPr>
              <w:t>$ 1.538.000</w:t>
            </w:r>
          </w:p>
        </w:tc>
        <w:tc>
          <w:tcPr>
            <w:tcW w:type="dxa" w:w="2381"/>
          </w:tcPr>
          <w:p>
            <w:pPr>
              <w:spacing w:before="0" w:after="0"/>
            </w:pPr>
            <w:r/>
            <w:r>
              <w:rPr>
                <w:rFonts w:ascii="Calibri" w:hAnsi="Calibri"/>
                <w:b w:val="0"/>
                <w:color w:val="1A1C24"/>
                <w:sz w:val="19"/>
              </w:rPr>
              <w:t>Franco · min. 7:48</w:t>
            </w:r>
          </w:p>
        </w:tc>
      </w:tr>
      <w:tr>
        <w:tc>
          <w:tcPr>
            <w:tcW w:type="dxa" w:w="4649"/>
          </w:tcPr>
          <w:p>
            <w:pPr>
              <w:spacing w:before="0" w:after="0"/>
            </w:pPr>
            <w:r/>
            <w:r>
              <w:rPr>
                <w:rFonts w:ascii="Calibri" w:hAnsi="Calibri"/>
                <w:b/>
                <w:color w:val="1A1C24"/>
                <w:sz w:val="19"/>
              </w:rPr>
              <w:t>Medidores de energía</w:t>
            </w:r>
          </w:p>
        </w:tc>
        <w:tc>
          <w:tcPr>
            <w:tcW w:type="dxa" w:w="2268"/>
          </w:tcPr>
          <w:p>
            <w:pPr>
              <w:spacing w:before="0" w:after="0"/>
              <w:jc w:val="right"/>
            </w:pPr>
            <w:r/>
            <w:r>
              <w:rPr>
                <w:rFonts w:ascii="Calibri" w:hAnsi="Calibri"/>
                <w:b w:val="0"/>
                <w:color w:val="1A1C24"/>
                <w:sz w:val="19"/>
              </w:rPr>
              <w:t>más de 100</w:t>
            </w:r>
          </w:p>
        </w:tc>
        <w:tc>
          <w:tcPr>
            <w:tcW w:type="dxa" w:w="2381"/>
          </w:tcPr>
          <w:p>
            <w:pPr>
              <w:spacing w:before="0" w:after="0"/>
            </w:pPr>
            <w:r/>
            <w:r>
              <w:rPr>
                <w:rFonts w:ascii="Calibri" w:hAnsi="Calibri"/>
                <w:b w:val="0"/>
                <w:color w:val="1A1C24"/>
                <w:sz w:val="19"/>
              </w:rPr>
              <w:t>Presupuesto · secc. 01</w:t>
            </w:r>
          </w:p>
        </w:tc>
      </w:tr>
      <w:tr>
        <w:tc>
          <w:tcPr>
            <w:tcW w:type="dxa" w:w="4649"/>
          </w:tcPr>
          <w:p>
            <w:pPr>
              <w:spacing w:before="0" w:after="0"/>
            </w:pPr>
            <w:r/>
            <w:r>
              <w:rPr>
                <w:rFonts w:ascii="Calibri" w:hAnsi="Calibri"/>
                <w:b/>
                <w:color w:val="1A1C24"/>
                <w:sz w:val="19"/>
              </w:rPr>
              <w:t>Abono mensual sobre la cobranza (TC $1.400)</w:t>
            </w:r>
          </w:p>
        </w:tc>
        <w:tc>
          <w:tcPr>
            <w:tcW w:type="dxa" w:w="2268"/>
          </w:tcPr>
          <w:p>
            <w:pPr>
              <w:spacing w:before="0" w:after="0"/>
              <w:jc w:val="right"/>
            </w:pPr>
            <w:r/>
            <w:r>
              <w:rPr>
                <w:rFonts w:ascii="Calibri" w:hAnsi="Calibri"/>
                <w:b w:val="0"/>
                <w:color w:val="1A1C24"/>
                <w:sz w:val="19"/>
              </w:rPr>
              <w:t>1,8 %</w:t>
            </w:r>
          </w:p>
        </w:tc>
        <w:tc>
          <w:tcPr>
            <w:tcW w:type="dxa" w:w="2381"/>
          </w:tcPr>
          <w:p>
            <w:pPr>
              <w:spacing w:before="0" w:after="0"/>
            </w:pPr>
            <w:r/>
            <w:r>
              <w:rPr>
                <w:rFonts w:ascii="Calibri" w:hAnsi="Calibri"/>
                <w:b w:val="0"/>
                <w:color w:val="1A1C24"/>
                <w:sz w:val="19"/>
              </w:rPr>
              <w:t>cálculo</w:t>
            </w:r>
          </w:p>
        </w:tc>
      </w:tr>
      <w:tr>
        <w:tc>
          <w:tcPr>
            <w:tcW w:type="dxa" w:w="4649"/>
          </w:tcPr>
          <w:p>
            <w:pPr>
              <w:spacing w:before="0" w:after="0"/>
            </w:pPr>
            <w:r/>
            <w:r>
              <w:rPr>
                <w:rFonts w:ascii="Calibri" w:hAnsi="Calibri"/>
                <w:b/>
                <w:color w:val="1A1C24"/>
                <w:sz w:val="19"/>
              </w:rPr>
              <w:t>Abono por unidad y por mes</w:t>
            </w:r>
          </w:p>
        </w:tc>
        <w:tc>
          <w:tcPr>
            <w:tcW w:type="dxa" w:w="2268"/>
          </w:tcPr>
          <w:p>
            <w:pPr>
              <w:spacing w:before="0" w:after="0"/>
              <w:jc w:val="right"/>
            </w:pPr>
            <w:r/>
            <w:r>
              <w:rPr>
                <w:rFonts w:ascii="Calibri" w:hAnsi="Calibri"/>
                <w:b w:val="0"/>
                <w:color w:val="1A1C24"/>
                <w:sz w:val="19"/>
              </w:rPr>
              <w:t>menos de USD 7</w:t>
            </w:r>
          </w:p>
        </w:tc>
        <w:tc>
          <w:tcPr>
            <w:tcW w:type="dxa" w:w="2381"/>
          </w:tcPr>
          <w:p>
            <w:pPr>
              <w:spacing w:before="0" w:after="0"/>
            </w:pPr>
            <w:r/>
            <w:r>
              <w:rPr>
                <w:rFonts w:ascii="Calibri" w:hAnsi="Calibri"/>
                <w:b w:val="0"/>
                <w:color w:val="1A1C24"/>
                <w:sz w:val="19"/>
              </w:rPr>
              <w:t>cálculo</w:t>
            </w:r>
          </w:p>
        </w:tc>
      </w:tr>
      <w:tr>
        <w:tc>
          <w:tcPr>
            <w:tcW w:type="dxa" w:w="4649"/>
          </w:tcPr>
          <w:p>
            <w:pPr>
              <w:spacing w:before="0" w:after="0"/>
            </w:pPr>
            <w:r/>
            <w:r>
              <w:rPr>
                <w:rFonts w:ascii="Calibri" w:hAnsi="Calibri"/>
                <w:b/>
                <w:color w:val="1A1C24"/>
                <w:sz w:val="19"/>
              </w:rPr>
              <w:t>Implementación medida en expensas</w:t>
            </w:r>
          </w:p>
        </w:tc>
        <w:tc>
          <w:tcPr>
            <w:tcW w:type="dxa" w:w="2268"/>
          </w:tcPr>
          <w:p>
            <w:pPr>
              <w:spacing w:before="0" w:after="0"/>
              <w:jc w:val="right"/>
            </w:pPr>
            <w:r/>
            <w:r>
              <w:rPr>
                <w:rFonts w:ascii="Calibri" w:hAnsi="Calibri"/>
                <w:b w:val="0"/>
                <w:color w:val="1A1C24"/>
                <w:sz w:val="19"/>
              </w:rPr>
              <w:t>2,7 expensas</w:t>
            </w:r>
          </w:p>
        </w:tc>
        <w:tc>
          <w:tcPr>
            <w:tcW w:type="dxa" w:w="2381"/>
          </w:tcPr>
          <w:p>
            <w:pPr>
              <w:spacing w:before="0" w:after="0"/>
            </w:pPr>
            <w:r/>
            <w:r>
              <w:rPr>
                <w:rFonts w:ascii="Calibri" w:hAnsi="Calibri"/>
                <w:b w:val="0"/>
                <w:color w:val="1A1C24"/>
                <w:sz w:val="19"/>
              </w:rPr>
              <w:t>cálculo</w:t>
            </w:r>
          </w:p>
        </w:tc>
      </w:tr>
    </w:tbl>
    <w:p>
      <w:pPr>
        <w:spacing w:before="160" w:after="140" w:line="293" w:lineRule="auto"/>
      </w:pPr>
      <w:r>
        <w:rPr>
          <w:rFonts w:ascii="Calibri" w:hAnsi="Calibri"/>
          <w:b w:val="0"/>
          <w:color w:val="1A1C24"/>
          <w:sz w:val="21"/>
        </w:rPr>
        <w:t xml:space="preserve">A un tipo de cambio de $1.400, el abono de USD 650 equivale a unos $910.000 al mes: el </w:t>
      </w:r>
      <w:r>
        <w:rPr>
          <w:rFonts w:ascii="Calibri" w:hAnsi="Calibri"/>
          <w:b/>
          <w:color w:val="1A1C24"/>
          <w:sz w:val="21"/>
        </w:rPr>
        <w:t>1,8 % de lo que el sistema cobra</w:t>
      </w:r>
      <w:r>
        <w:rPr>
          <w:rFonts w:ascii="Calibri" w:hAnsi="Calibri"/>
          <w:b w:val="0"/>
          <w:color w:val="1A1C24"/>
          <w:sz w:val="21"/>
        </w:rPr>
        <w:t>. Es menos que la comisión de un procesador de pagos, y sin cargo por transacción. Repartido entre las unidades del mercado, son menos de USD 7 por socio por mes. La implementación completa equivale a 2,7 expensas de puesto.</w:t>
      </w:r>
    </w:p>
    <w:p>
      <w:pPr>
        <w:spacing w:before="0" w:after="140" w:line="293" w:lineRule="auto"/>
      </w:pPr>
      <w:r>
        <w:rPr>
          <w:rFonts w:ascii="Calibri" w:hAnsi="Calibri"/>
          <w:b w:val="0"/>
          <w:color w:val="1A1C24"/>
          <w:sz w:val="21"/>
        </w:rPr>
        <w:t xml:space="preserve">La «referencia de magnitud» de la sección 05 se queda corta. </w:t>
      </w:r>
      <w:r>
        <w:rPr>
          <w:rFonts w:ascii="Calibri" w:hAnsi="Calibri"/>
          <w:b/>
          <w:color w:val="1A1C24"/>
          <w:sz w:val="21"/>
        </w:rPr>
        <w:t>USD 650 igualaría una expensa recién con el dólar a $2.366.</w:t>
      </w:r>
      <w:r>
        <w:rPr>
          <w:rFonts w:ascii="Calibri" w:hAnsi="Calibri"/>
          <w:b w:val="0"/>
          <w:color w:val="1A1C24"/>
          <w:sz w:val="21"/>
        </w:rPr>
        <w:t xml:space="preserve"> A cualquier tipo de cambio realista, el abono está muy por debajo de media expensa. Conviene reescribir esa sección con los números que dio Franco: es el argumento más fuerte disponible y hoy está desaprovechado.</w:t>
      </w:r>
    </w:p>
    <w:p>
      <w:pPr>
        <w:pBdr>
          <w:left w:val="single" w:sz="20" w:space="10" w:color="B4841C"/>
        </w:pBdr>
        <w:shd w:val="clear" w:color="auto" w:fill="FFF8E8"/>
        <w:spacing w:before="160" w:after="200" w:line="293" w:lineRule="auto"/>
        <w:ind w:left="255"/>
      </w:pPr>
      <w:r>
        <w:rPr>
          <w:rFonts w:ascii="Calibri" w:hAnsi="Calibri"/>
          <w:b/>
          <w:color w:val="1A1C24"/>
          <w:sz w:val="21"/>
        </w:rPr>
        <w:t xml:space="preserve">Dato a confirmar. </w:t>
      </w:r>
      <w:r>
        <w:rPr>
          <w:rFonts w:ascii="Calibri" w:hAnsi="Calibri"/>
          <w:b w:val="0"/>
          <w:color w:val="1A1C24"/>
          <w:sz w:val="21"/>
        </w:rPr>
        <w:t>El seed del sistema tiene la expensa de puesto en $1.080.000, pero la transcripción dice «1,53… 1,538». Hay que confirmarlo con Franco: además de corregir la configuración, refuerza el argumento de magnitud.</w:t>
      </w:r>
    </w:p>
    <w:p>
      <w:pPr>
        <w:keepNext/>
        <w:pBdr>
          <w:bottom w:val="single" w:sz="6" w:space="4" w:color="D8DCE8"/>
        </w:pBdr>
        <w:spacing w:before="440" w:after="40"/>
      </w:pPr>
      <w:r>
        <w:rPr>
          <w:rFonts w:ascii="Calibri" w:hAnsi="Calibri"/>
          <w:b/>
          <w:color w:val="2E3192"/>
          <w:sz w:val="20"/>
        </w:rPr>
        <w:t xml:space="preserve">03   </w:t>
      </w:r>
      <w:r>
        <w:rPr>
          <w:rFonts w:ascii="Calibri" w:hAnsi="Calibri"/>
          <w:b/>
          <w:color w:val="1A1C24"/>
          <w:sz w:val="23"/>
        </w:rPr>
        <w:t>LOS TRES AGUJEROS QUE HAY QUE CERRAR SÍ O SÍ</w:t>
      </w:r>
    </w:p>
    <w:p>
      <w:pPr>
        <w:keepNext/>
        <w:spacing w:before="240" w:after="60"/>
      </w:pPr>
      <w:r>
        <w:rPr>
          <w:rFonts w:ascii="Calibri" w:hAnsi="Calibri"/>
          <w:b/>
          <w:color w:val="2E3192"/>
          <w:sz w:val="21"/>
        </w:rPr>
        <w:t>1 · La permanencia no tiene consecuencia</w:t>
      </w:r>
    </w:p>
    <w:p>
      <w:pPr>
        <w:spacing w:before="0" w:after="140" w:line="293" w:lineRule="auto"/>
      </w:pPr>
      <w:r>
        <w:rPr>
          <w:rFonts w:ascii="Calibri" w:hAnsi="Calibri"/>
          <w:b w:val="0"/>
          <w:color w:val="1A1C24"/>
          <w:sz w:val="21"/>
        </w:rPr>
        <w:t xml:space="preserve">El documento dice «permanencia mínima 12 meses» y en la sección de Condiciones no hay ninguna cláusula de baja anticipada. Si la cooperativa se va en el mes 5, se cobraron USD 4.300 por unas 354 horas y no hay nada que reclamar. Es el hueco más caro del documento. </w:t>
      </w:r>
      <w:r>
        <w:rPr>
          <w:rFonts w:ascii="Calibri" w:hAnsi="Calibri"/>
          <w:b/>
          <w:color w:val="1A1C24"/>
          <w:sz w:val="21"/>
        </w:rPr>
        <w:t>Solución elegante:</w:t>
      </w:r>
      <w:r>
        <w:rPr>
          <w:rFonts w:ascii="Calibri" w:hAnsi="Calibri"/>
          <w:b w:val="0"/>
          <w:color w:val="1A1C24"/>
          <w:sz w:val="21"/>
        </w:rPr>
        <w:t xml:space="preserve"> declarar que los USD 3.000 son un precio bonificado contra el plazo de 12 meses, y que la baja anticipada factura la diferencia contra la implementación de lista. De paso vuelve coherentes las opciones A y B.</w:t>
      </w:r>
    </w:p>
    <w:p>
      <w:pPr>
        <w:keepNext/>
        <w:spacing w:before="240" w:after="60"/>
      </w:pPr>
      <w:r>
        <w:rPr>
          <w:rFonts w:ascii="Calibri" w:hAnsi="Calibri"/>
          <w:b/>
          <w:color w:val="2E3192"/>
          <w:sz w:val="21"/>
        </w:rPr>
        <w:t>2 · El cliente controla cuándo empieza la facturación</w:t>
      </w:r>
    </w:p>
    <w:p>
      <w:pPr>
        <w:spacing w:before="0" w:after="140" w:line="293" w:lineRule="auto"/>
      </w:pPr>
      <w:r>
        <w:rPr>
          <w:rFonts w:ascii="Calibri" w:hAnsi="Calibri"/>
          <w:b w:val="0"/>
          <w:color w:val="1A1C24"/>
          <w:sz w:val="21"/>
        </w:rPr>
        <w:t xml:space="preserve">«El abono mensual comienza al finalizar la marcha blanca.» ¿Quién declara que terminó? Si en el mes 4 el consejo dice «todavía hay diferencias», la marcha blanca se extiende gratis por tiempo indeterminado. </w:t>
      </w:r>
      <w:r>
        <w:rPr>
          <w:rFonts w:ascii="Calibri" w:hAnsi="Calibri"/>
          <w:b/>
          <w:color w:val="1A1C24"/>
          <w:sz w:val="21"/>
        </w:rPr>
        <w:t>Hace falta aceptación tácita:</w:t>
      </w:r>
      <w:r>
        <w:rPr>
          <w:rFonts w:ascii="Calibri" w:hAnsi="Calibri"/>
          <w:b w:val="0"/>
          <w:color w:val="1A1C24"/>
          <w:sz w:val="21"/>
        </w:rPr>
        <w:t xml:space="preserve"> «si no se plantean observaciones por escrito dentro de los 10 días hábiles, se considera aceptada», y fijar que la marcha blanca es un mes calendario contado desde una fecha concreta.</w:t>
      </w:r>
    </w:p>
    <w:p>
      <w:pPr>
        <w:keepNext/>
        <w:spacing w:before="240" w:after="60"/>
      </w:pPr>
      <w:r>
        <w:rPr>
          <w:rFonts w:ascii="Calibri" w:hAnsi="Calibri"/>
          <w:b/>
          <w:color w:val="2E3192"/>
          <w:sz w:val="21"/>
        </w:rPr>
        <w:t>3 · No está definido qué tipo de cambio</w:t>
      </w:r>
    </w:p>
    <w:p>
      <w:pPr>
        <w:spacing w:before="0" w:after="140" w:line="293" w:lineRule="auto"/>
      </w:pPr>
      <w:r>
        <w:rPr>
          <w:rFonts w:ascii="Calibri" w:hAnsi="Calibri"/>
          <w:b w:val="0"/>
          <w:color w:val="1A1C24"/>
          <w:sz w:val="21"/>
        </w:rPr>
        <w:t xml:space="preserve">«Pagaderos en pesos al tipo de cambio del día de pago», sin decir cuál. Oficial, MEP y libre se han separado entre un 20 % y un 60 %. Es una discusión garantizada todos los meses. </w:t>
      </w:r>
      <w:r>
        <w:rPr>
          <w:rFonts w:ascii="Calibri" w:hAnsi="Calibri"/>
          <w:b/>
          <w:color w:val="1A1C24"/>
          <w:sz w:val="21"/>
        </w:rPr>
        <w:t>Hay que nombrarlo:</w:t>
      </w:r>
      <w:r>
        <w:rPr>
          <w:rFonts w:ascii="Calibri" w:hAnsi="Calibri"/>
          <w:b w:val="0"/>
          <w:color w:val="1A1C24"/>
          <w:sz w:val="21"/>
        </w:rPr>
        <w:t xml:space="preserve"> «dólar BNA billete vendedor del cierre del día hábil anterior», o el que se prefiera, pero explícito.</w:t>
      </w:r>
    </w:p>
    <w:p>
      <w:pPr>
        <w:keepNext/>
        <w:pBdr>
          <w:bottom w:val="single" w:sz="6" w:space="4" w:color="D8DCE8"/>
        </w:pBdr>
        <w:spacing w:before="440" w:after="40"/>
      </w:pPr>
      <w:r>
        <w:rPr>
          <w:rFonts w:ascii="Calibri" w:hAnsi="Calibri"/>
          <w:b/>
          <w:color w:val="2E3192"/>
          <w:sz w:val="20"/>
        </w:rPr>
        <w:t xml:space="preserve">04   </w:t>
      </w:r>
      <w:r>
        <w:rPr>
          <w:rFonts w:ascii="Calibri" w:hAnsi="Calibri"/>
          <w:b/>
          <w:color w:val="1A1C24"/>
          <w:sz w:val="23"/>
        </w:rPr>
        <w:t>LO QUE TAMBIÉN FALTA</w:t>
      </w:r>
    </w:p>
    <w:p>
      <w:pPr>
        <w:spacing w:before="0" w:after="120" w:line="293" w:lineRule="auto"/>
        <w:ind w:left="312" w:hanging="312"/>
      </w:pPr>
      <w:r>
        <w:rPr>
          <w:rFonts w:ascii="Calibri" w:hAnsi="Calibri"/>
          <w:b/>
          <w:color w:val="1A1C24"/>
          <w:sz w:val="21"/>
        </w:rPr>
        <w:t xml:space="preserve">Límite de responsabilidad. </w:t>
      </w:r>
      <w:r>
        <w:rPr>
          <w:rFonts w:ascii="Calibri" w:hAnsi="Calibri"/>
          <w:b w:val="0"/>
          <w:color w:val="1A1C24"/>
          <w:sz w:val="21"/>
        </w:rPr>
        <w:t>El sistema imputa pagos y arquea caja sobre 50 millones de pesos por mes. Una imputación mal hecha puede generar un reclamo más grande que todo el contrato. El estándar es limitar la responsabilidad a los abonos de los últimos 6 a 12 meses, excluido el lucro cesante. Dada la naturaleza del sistema, es la cláusula ausente más importante.</w:t>
      </w:r>
    </w:p>
    <w:p>
      <w:pPr>
        <w:spacing w:before="0" w:after="120" w:line="293" w:lineRule="auto"/>
        <w:ind w:left="312" w:hanging="312"/>
      </w:pPr>
      <w:r>
        <w:rPr>
          <w:rFonts w:ascii="Calibri" w:hAnsi="Calibri"/>
          <w:b/>
          <w:color w:val="1A1C24"/>
          <w:sz w:val="21"/>
        </w:rPr>
        <w:t xml:space="preserve">«Licencia de uso indefinida» contradice el modelo. </w:t>
      </w:r>
      <w:r>
        <w:rPr>
          <w:rFonts w:ascii="Calibri" w:hAnsi="Calibri"/>
          <w:b w:val="0"/>
          <w:color w:val="1A1C24"/>
          <w:sz w:val="21"/>
        </w:rPr>
        <w:t>El código y la infraestructura quedan en studiOS. Entonces, ¿qué significa «indefinida» si dejan de pagar? Tal como está redactado, alguien puede leer «cumplimos 12 meses, cortamos el abono y seguimos usándolo». Cerrarlo: «la licencia rige mientras el abono esté vigente».</w:t>
      </w:r>
    </w:p>
    <w:p>
      <w:pPr>
        <w:spacing w:before="0" w:after="120" w:line="293" w:lineRule="auto"/>
        <w:ind w:left="312" w:hanging="312"/>
      </w:pPr>
      <w:r>
        <w:rPr>
          <w:rFonts w:ascii="Calibri" w:hAnsi="Calibri"/>
          <w:b/>
          <w:color w:val="1A1C24"/>
          <w:sz w:val="21"/>
        </w:rPr>
        <w:t xml:space="preserve">No hay valor hora en ningún lado. </w:t>
      </w:r>
      <w:r>
        <w:rPr>
          <w:rFonts w:ascii="Calibri" w:hAnsi="Calibri"/>
          <w:b w:val="0"/>
          <w:color w:val="1A1C24"/>
          <w:sz w:val="21"/>
        </w:rPr>
        <w:t>Ni para el excedente sobre las 12 horas mensuales ni para módulos nuevos. Cada negociación futura arranca sin ancla. Conviene además aclarar que las horas no consumidas no se acumulan, o en el mes 9 van a reclamar las que «sobraron».</w:t>
      </w:r>
    </w:p>
    <w:p>
      <w:pPr>
        <w:spacing w:before="0" w:after="120" w:line="293" w:lineRule="auto"/>
        <w:ind w:left="312" w:hanging="312"/>
      </w:pPr>
      <w:r>
        <w:rPr>
          <w:rFonts w:ascii="Calibri" w:hAnsi="Calibri"/>
          <w:b/>
          <w:color w:val="1A1C24"/>
          <w:sz w:val="21"/>
        </w:rPr>
        <w:t xml:space="preserve">Impuestos y mora. </w:t>
      </w:r>
      <w:r>
        <w:rPr>
          <w:rFonts w:ascii="Calibri" w:hAnsi="Calibri"/>
          <w:b w:val="0"/>
          <w:color w:val="1A1C24"/>
          <w:sz w:val="21"/>
        </w:rPr>
        <w:t>¿Los valores incluyen IVA? Una cooperativa retiene Ingresos Brutos de Córdoba y Ganancias, lo que puede consumir entre un 3 % y un 6 % del neto. Y «se factura entre el 1 y el 10» no dice cuándo vence ni qué ocurre si no pagan.</w:t>
      </w:r>
    </w:p>
    <w:p>
      <w:pPr>
        <w:spacing w:before="0" w:after="120" w:line="293" w:lineRule="auto"/>
        <w:ind w:left="312" w:hanging="312"/>
      </w:pPr>
      <w:r>
        <w:rPr>
          <w:rFonts w:ascii="Calibri" w:hAnsi="Calibri"/>
          <w:b/>
          <w:color w:val="1A1C24"/>
          <w:sz w:val="21"/>
        </w:rPr>
        <w:t xml:space="preserve">La carga de datos no tiene fecha. </w:t>
      </w:r>
      <w:r>
        <w:rPr>
          <w:rFonts w:ascii="Calibri" w:hAnsi="Calibri"/>
          <w:b w:val="0"/>
          <w:color w:val="1A1C24"/>
          <w:sz w:val="21"/>
        </w:rPr>
        <w:t>La cláusula está bien planteada, pero sin plazo ni consecuencia: si el padrón tarda dos meses en llegar, los 3 meses de plan se convierten en 5 y el costo lo absorbe studiOS. Agregar «dentro de los X días de la firma» y que los plazos se suspenden hasta la entrega.</w:t>
      </w:r>
    </w:p>
    <w:p>
      <w:pPr>
        <w:spacing w:before="0" w:after="120" w:line="293" w:lineRule="auto"/>
        <w:ind w:left="312" w:hanging="312"/>
      </w:pPr>
      <w:r>
        <w:rPr>
          <w:rFonts w:ascii="Calibri" w:hAnsi="Calibri"/>
          <w:b/>
          <w:color w:val="1A1C24"/>
          <w:sz w:val="21"/>
        </w:rPr>
        <w:t xml:space="preserve">No hay compromiso de disponibilidad. </w:t>
      </w:r>
      <w:r>
        <w:rPr>
          <w:rFonts w:ascii="Calibri" w:hAnsi="Calibri"/>
          <w:b w:val="0"/>
          <w:color w:val="1A1C24"/>
          <w:sz w:val="21"/>
        </w:rPr>
        <w:t>Un guardia cobra en efectivo todos los días. «Soporte en horario de la cooperativa» es un compromiso blando. O se fija un tiempo de respuesta para incidentes críticos, o se aclara explícitamente que no hay garantía 24/7, para alinear expectativas desde el día uno.</w:t>
      </w:r>
    </w:p>
    <w:p>
      <w:pPr>
        <w:spacing w:before="0" w:after="120" w:line="293" w:lineRule="auto"/>
        <w:ind w:left="312" w:hanging="312"/>
      </w:pPr>
      <w:r>
        <w:rPr>
          <w:rFonts w:ascii="Calibri" w:hAnsi="Calibri"/>
          <w:b/>
          <w:color w:val="1A1C24"/>
          <w:sz w:val="21"/>
        </w:rPr>
        <w:t xml:space="preserve">Qué pasa en el mes 13. </w:t>
      </w:r>
      <w:r>
        <w:rPr>
          <w:rFonts w:ascii="Calibri" w:hAnsi="Calibri"/>
          <w:b w:val="0"/>
          <w:color w:val="1A1C24"/>
          <w:sz w:val="21"/>
        </w:rPr>
        <w:t>Cumplida la permanencia, ¿la relación sigue mes a mes, se renueva automáticamente? Y «se revisa una vez por año» no tiene mecanismo ni índice: en Argentina eso es una discusión anual sin ancla.</w:t>
      </w:r>
    </w:p>
    <w:p>
      <w:pPr>
        <w:keepNext/>
        <w:pBdr>
          <w:bottom w:val="single" w:sz="6" w:space="4" w:color="D8DCE8"/>
        </w:pBdr>
        <w:spacing w:before="440" w:after="40"/>
      </w:pPr>
      <w:r>
        <w:rPr>
          <w:rFonts w:ascii="Calibri" w:hAnsi="Calibri"/>
          <w:b/>
          <w:color w:val="2E3192"/>
          <w:sz w:val="20"/>
        </w:rPr>
        <w:t xml:space="preserve">05   </w:t>
      </w:r>
      <w:r>
        <w:rPr>
          <w:rFonts w:ascii="Calibri" w:hAnsi="Calibri"/>
          <w:b/>
          <w:color w:val="1A1C24"/>
          <w:sz w:val="23"/>
        </w:rPr>
        <w:t>DOS CUESTIONES DE ESTRATEGIA</w:t>
      </w:r>
    </w:p>
    <w:p>
      <w:pPr>
        <w:keepNext/>
        <w:spacing w:before="240" w:after="60"/>
      </w:pPr>
      <w:r>
        <w:rPr>
          <w:rFonts w:ascii="Calibri" w:hAnsi="Calibri"/>
          <w:b/>
          <w:color w:val="2E3192"/>
          <w:sz w:val="21"/>
        </w:rPr>
        <w:t>Publicar las horas junto a un precio fijo ancla mal</w:t>
      </w:r>
    </w:p>
    <w:p>
      <w:pPr>
        <w:spacing w:before="0" w:after="140" w:line="293" w:lineRule="auto"/>
      </w:pPr>
      <w:r>
        <w:rPr>
          <w:rFonts w:ascii="Calibri" w:hAnsi="Calibri"/>
          <w:b w:val="0"/>
          <w:color w:val="1A1C24"/>
          <w:sz w:val="21"/>
        </w:rPr>
        <w:t xml:space="preserve">Cualquiera divide y obtiene USD 7 a 11 por hora, y ese número persigue a studiOS en cada módulo futuro. No hace falta sacar la tabla: alcanza con agregarle el valor de mercado, para que los USD 3.000 se lean como concesión y no como tarifa. Por ejemplo: </w:t>
      </w:r>
      <w:r>
        <w:rPr>
          <w:rFonts w:ascii="Calibri" w:hAnsi="Calibri"/>
          <w:b/>
          <w:color w:val="1A1C24"/>
          <w:sz w:val="21"/>
        </w:rPr>
        <w:t>«el trabajo restante representa entre USD 9.000 y 15.000 a valor hora de mercado; la estructura propuesta lo distribuye en el abono»</w:t>
      </w:r>
      <w:r>
        <w:rPr>
          <w:rFonts w:ascii="Calibri" w:hAnsi="Calibri"/>
          <w:b w:val="0"/>
          <w:color w:val="1A1C24"/>
          <w:sz w:val="21"/>
        </w:rPr>
        <w:t>.</w:t>
      </w:r>
    </w:p>
    <w:p>
      <w:pPr>
        <w:keepNext/>
        <w:spacing w:before="240" w:after="60"/>
      </w:pPr>
      <w:r>
        <w:rPr>
          <w:rFonts w:ascii="Calibri" w:hAnsi="Calibri"/>
          <w:b/>
          <w:color w:val="2E3192"/>
          <w:sz w:val="21"/>
        </w:rPr>
        <w:t>Lo ya construido no está valorizado en ninguna parte</w:t>
      </w:r>
    </w:p>
    <w:p>
      <w:pPr>
        <w:spacing w:before="0" w:after="140" w:line="293" w:lineRule="auto"/>
      </w:pPr>
      <w:r>
        <w:rPr>
          <w:rFonts w:ascii="Calibri" w:hAnsi="Calibri"/>
          <w:b w:val="0"/>
          <w:i w:val="0"/>
          <w:color w:val="1A1C24"/>
          <w:sz w:val="21"/>
        </w:rPr>
        <w:t>La sección 01 usa el sistema existente como prueba de capacidad, pero en ningún momento dice que representa una cantidad de horas ya invertidas que no se están facturando. Una sola frase cambia cómo se lee todo el precio del documento.</w:t>
      </w:r>
    </w:p>
    <w:p>
      <w:pPr>
        <w:keepNext/>
        <w:pBdr>
          <w:bottom w:val="single" w:sz="6" w:space="4" w:color="D8DCE8"/>
        </w:pBdr>
        <w:spacing w:before="440" w:after="40"/>
      </w:pPr>
      <w:r>
        <w:rPr>
          <w:rFonts w:ascii="Calibri" w:hAnsi="Calibri"/>
          <w:b/>
          <w:color w:val="2E3192"/>
          <w:sz w:val="20"/>
        </w:rPr>
        <w:t xml:space="preserve">06   </w:t>
      </w:r>
      <w:r>
        <w:rPr>
          <w:rFonts w:ascii="Calibri" w:hAnsi="Calibri"/>
          <w:b/>
          <w:color w:val="1A1C24"/>
          <w:sz w:val="23"/>
        </w:rPr>
        <w:t>RECOMENDACIÓN</w:t>
      </w:r>
    </w:p>
    <w:p>
      <w:pPr>
        <w:spacing w:before="80" w:after="140" w:line="293" w:lineRule="auto"/>
      </w:pPr>
      <w:r>
        <w:rPr>
          <w:rFonts w:ascii="Calibri" w:hAnsi="Calibri"/>
          <w:b w:val="0"/>
          <w:i w:val="0"/>
          <w:color w:val="1A1C24"/>
          <w:sz w:val="21"/>
        </w:rPr>
        <w:t>Si el plan es que este sea el cliente ancla de un vertical de cooperativas y mercados —y la cláusula de propiedad intelectual indica exactamente eso—, entonces USD 3.000 es costo de adquisición y se defiende perfectamente. Pero en ese escenario las cláusulas de riesgo importan más, no menos: una primera relación que sale mal destruye la posibilidad de reventa.</w:t>
      </w:r>
    </w:p>
    <w:p>
      <w:pPr>
        <w:pBdr>
          <w:left w:val="single" w:sz="20" w:space="10" w:color="2E3192"/>
        </w:pBdr>
        <w:shd w:val="clear" w:color="auto" w:fill="F3F5FA"/>
        <w:spacing w:before="160" w:after="200" w:line="293" w:lineRule="auto"/>
        <w:ind w:left="255"/>
      </w:pPr>
      <w:r>
        <w:rPr>
          <w:rFonts w:ascii="Calibri" w:hAnsi="Calibri"/>
          <w:b/>
          <w:color w:val="1A1C24"/>
          <w:sz w:val="21"/>
        </w:rPr>
        <w:t>En concreto: o se sube la implementación a USD 5.000 – 7.000, o se dejan los USD 3.000 y se le ponen dientes a la permanencia. Las dos cosas juntas no hacen falta. Ninguna de las dos es el escenario actual.</w:t>
      </w:r>
    </w:p>
    <w:p>
      <w:pPr>
        <w:keepNext/>
        <w:pBdr>
          <w:bottom w:val="single" w:sz="6" w:space="4" w:color="D8DCE8"/>
        </w:pBdr>
        <w:spacing w:before="440" w:after="40"/>
      </w:pPr>
      <w:r>
        <w:rPr>
          <w:rFonts w:ascii="Calibri" w:hAnsi="Calibri"/>
          <w:b/>
          <w:color w:val="2E3192"/>
          <w:sz w:val="20"/>
        </w:rPr>
        <w:t xml:space="preserve">07   </w:t>
      </w:r>
      <w:r>
        <w:rPr>
          <w:rFonts w:ascii="Calibri" w:hAnsi="Calibri"/>
          <w:b/>
          <w:color w:val="1A1C24"/>
          <w:sz w:val="23"/>
        </w:rPr>
        <w:t>CHECKLIST ANTES DE ENVIAR</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Preguntar a Franco cuánto paga por el sistema del bar.</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Confirmar el valor real de la expensa de puesto ($1.080.000 en el seed vs. $1.538.000 en la reunión).</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Reescribir la sección 05 con los números de escala del cliente (50 M/mes, 1,8 %, menos de USD 7 por socio).</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Agregar cláusula de baja anticipada con consecuencia económica.</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Agregar aceptación tácita y fecha fija de fin de marcha blanca.</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Especificar el tipo de cambio de referencia.</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Agregar límite de responsabilidad.</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Aclarar que la licencia rige mientras el abono esté vigente.</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Fijar valor hora para excedentes y módulos nuevos; aclarar que las horas no se acumulan.</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Aclarar tratamiento de IVA y retenciones, vencimiento de factura y mora.</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Poner plazo y consecuencia a la entrega del padrón de datos.</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Definir qué ocurre al mes 13 y con qué mecanismo se revisa el abono.</w:t>
      </w:r>
    </w:p>
    <w:p>
      <w:pPr>
        <w:spacing w:before="0" w:after="80" w:line="293" w:lineRule="auto"/>
        <w:ind w:left="312" w:hanging="312"/>
      </w:pPr>
      <w:r>
        <w:rPr>
          <w:rFonts w:ascii="Calibri" w:hAnsi="Calibri"/>
          <w:b w:val="0"/>
          <w:color w:val="2E3192"/>
          <w:sz w:val="21"/>
        </w:rPr>
        <w:t xml:space="preserve">☐   </w:t>
      </w:r>
      <w:r>
        <w:rPr>
          <w:rFonts w:ascii="Calibri" w:hAnsi="Calibri"/>
          <w:b w:val="0"/>
          <w:color w:val="1A1C24"/>
          <w:sz w:val="21"/>
        </w:rPr>
        <w:t>Decidir: subir la implementación o endurecer la permanencia.</w:t>
      </w:r>
    </w:p>
    <w:p>
      <w:pPr>
        <w:spacing w:before="360" w:after="0" w:line="293" w:lineRule="auto"/>
      </w:pPr>
    </w:p>
    <w:p>
      <w:pPr>
        <w:pBdr>
          <w:top w:val="single" w:sz="6" w:space="4" w:color="D8DCE8"/>
        </w:pBdr>
        <w:spacing w:before="0" w:after="0" w:line="293" w:lineRule="auto"/>
      </w:pPr>
      <w:r>
        <w:rPr>
          <w:rFonts w:ascii="Calibri" w:hAnsi="Calibri"/>
          <w:b/>
          <w:i w:val="0"/>
          <w:color w:val="1A1C24"/>
          <w:sz w:val="20"/>
        </w:rPr>
        <w:t>Ignacio Nahuel Baldovino</w:t>
      </w:r>
    </w:p>
    <w:p>
      <w:pPr>
        <w:spacing w:before="0" w:after="0" w:line="293" w:lineRule="auto"/>
      </w:pPr>
      <w:r>
        <w:rPr>
          <w:rFonts w:ascii="Calibri" w:hAnsi="Calibri"/>
          <w:b w:val="0"/>
          <w:i w:val="0"/>
          <w:color w:val="6B7080"/>
          <w:sz w:val="18"/>
        </w:rPr>
        <w:t>Desarrollador de Software · studiOS · Córdoba Capital</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8DCE8"/>
      </w:pBdr>
      <w:jc w:val="left"/>
    </w:pPr>
    <w:r>
      <w:rPr>
        <w:rFonts w:ascii="Calibri" w:hAnsi="Calibri"/>
        <w:color w:val="6B7080"/>
        <w:sz w:val="16"/>
      </w:rPr>
      <w:t>studiOS  ·  Revisión interna  ·  Presupuesto Mercado San Miguel</w:t>
    </w:r>
    <w:r>
      <w:rPr>
        <w:sz w:val="16"/>
      </w:rPr>
      <w:tab/>
      <w:tab/>
    </w:r>
    <w:fldSimple w:instr="PAGE">
      <w:r>
        <w:rPr>
          <w:sz w:val="16"/>
          <w:color w:val="6B708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eastAsia="Calibri" w:cs="Calibri"/>
      <w:color w:val="1A1C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