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right"/>
      </w:pPr>
      <w:r>
        <w:rPr>
          <w:rFonts w:ascii="Courier New" w:cs="Courier New" w:eastAsia="Courier New" w:hAnsi="Courier New"/>
          <w:color w:val="0D9488"/>
          <w:spacing w:val="80"/>
          <w:sz w:val="18"/>
          <w:szCs w:val="18"/>
        </w:rPr>
        <w:t xml:space="preserve">evolsphere.com</w:t>
      </w:r>
    </w:p>
    <w:p>
      <w:pPr>
        <w:pBdr>
          <w:bottom w:val="single" w:color="E8E6DE" w:sz="4"/>
        </w:pBdr>
        <w:spacing w:after="0" w:before="0"/>
      </w:pPr>
      <w:r>
        <w:t xml:space="preserve"/>
      </w:r>
    </w:p>
    <w:p>
      <w:pPr>
        <w:spacing w:after="0" w:before="560"/>
      </w:pPr>
      <w:r>
        <w:t xml:space="preserve"/>
      </w:r>
    </w:p>
    <w:p>
      <w:r>
        <w:rPr>
          <w:rFonts w:ascii="Georgia" w:cs="Georgia" w:eastAsia="Georgia" w:hAnsi="Georgia"/>
          <w:b w:val="false"/>
          <w:bCs w:val="false"/>
          <w:color w:val="0B1829"/>
          <w:sz w:val="120"/>
          <w:szCs w:val="120"/>
        </w:rPr>
        <w:t xml:space="preserve">EVOL</w:t>
      </w:r>
      <w:r>
        <w:rPr>
          <w:rFonts w:ascii="Georgia" w:cs="Georgia" w:eastAsia="Georgia" w:hAnsi="Georgia"/>
          <w:b w:val="false"/>
          <w:bCs w:val="false"/>
          <w:color w:val="C49A2E"/>
          <w:sz w:val="120"/>
          <w:szCs w:val="120"/>
        </w:rPr>
        <w:t xml:space="preserve">SPHERE</w:t>
      </w:r>
    </w:p>
    <w:p>
      <w:pPr>
        <w:spacing w:after="0" w:before="40"/>
      </w:pPr>
      <w:r>
        <w:t xml:space="preserve"/>
      </w:r>
    </w:p>
    <w:p>
      <w:r>
        <w:rPr>
          <w:rFonts w:ascii="Georgia" w:cs="Georgia" w:eastAsia="Georgia" w:hAnsi="Georgia"/>
          <w:i/>
          <w:iCs/>
          <w:color w:val="5A6480"/>
          <w:sz w:val="36"/>
          <w:szCs w:val="36"/>
        </w:rPr>
        <w:t xml:space="preserve">Outil de pilotage pour directeurs exigeants.</w:t>
      </w:r>
    </w:p>
    <w:p>
      <w:pPr>
        <w:spacing w:after="0" w:before="400"/>
      </w:pPr>
      <w:r>
        <w:t xml:space="preserve"/>
      </w:r>
    </w:p>
    <w:p>
      <w:r>
        <w:rPr>
          <w:rFonts w:ascii="Georgia" w:cs="Georgia" w:eastAsia="Georgia" w:hAnsi="Georgia"/>
          <w:color w:val="0B1829"/>
          <w:sz w:val="28"/>
          <w:szCs w:val="28"/>
        </w:rPr>
        <w:t xml:space="preserve">Accès annuel complet</w:t>
      </w:r>
    </w:p>
    <w:p>
      <w:pPr>
        <w:spacing w:after="0" w:before="20"/>
      </w:pPr>
      <w:r>
        <w:rPr>
          <w:rFonts w:ascii="Georgia" w:cs="Georgia" w:eastAsia="Georgia" w:hAnsi="Georgia"/>
          <w:b w:val="false"/>
          <w:bCs w:val="false"/>
          <w:color w:val="C49A2E"/>
          <w:sz w:val="64"/>
          <w:szCs w:val="64"/>
        </w:rPr>
        <w:t xml:space="preserve">14 990 € HT / an</w:t>
      </w:r>
    </w:p>
    <w:p>
      <w:pPr>
        <w:spacing w:after="0" w:before="10"/>
      </w:pPr>
      <w:r>
        <w:rPr>
          <w:rFonts w:ascii="Courier New" w:cs="Courier New" w:eastAsia="Courier New" w:hAnsi="Courier New"/>
          <w:color w:val="5A6480"/>
          <w:spacing w:val="50"/>
          <w:sz w:val="17"/>
          <w:szCs w:val="17"/>
        </w:rPr>
        <w:t xml:space="preserve">Practice Retail SAS  ·  raphael@de-bruijn.com  ·  +33 (0)6 73 97 75 76</w:t>
      </w:r>
    </w:p>
    <w:p>
      <w:pPr>
        <w:spacing w:after="0" w:before="400"/>
      </w:pPr>
      <w:r>
        <w:t xml:space="preserve"/>
      </w:r>
    </w:p>
    <w:p>
      <w:pPr>
        <w:pBdr>
          <w:bottom w:val="single" w:color="E8E6DE" w:sz="2"/>
        </w:pBdr>
        <w:spacing w:after="0" w:before="0"/>
      </w:pPr>
      <w:r>
        <w:t xml:space="preserve"/>
      </w:r>
    </w:p>
    <w:p>
      <w:pPr>
        <w:spacing w:after="0" w:before="60"/>
      </w:pPr>
      <w:r>
        <w:rPr>
          <w:rFonts w:ascii="Courier New" w:cs="Courier New" w:eastAsia="Courier New" w:hAnsi="Courier New"/>
          <w:color w:val="BBBBBB"/>
          <w:spacing w:val="50"/>
          <w:sz w:val="16"/>
          <w:szCs w:val="16"/>
        </w:rPr>
        <w:t xml:space="preserve">Document confidentiel  ·  Usage exclusif du destinataire  ·  Juin 2026</w:t>
      </w:r>
    </w:p>
    <w:p>
      <w:pPr>
        <w:spacing w:after="0" w:before="6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EVOLSPHERE — PRÉSENTATION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color w:val="0B1829"/>
          <w:sz w:val="52"/>
          <w:szCs w:val="52"/>
        </w:rPr>
        <w:t xml:space="preserve">Piloter. Décider. Livrer.</w:t>
      </w:r>
    </w:p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EvolSphere est un outil de pilotage conçu par un professionnel du programme, pour les directeurs qui ont autre chose à faire que de consolider des tableurs.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Vingt ans de programmes complexes — ERP, transformation omnicanale, gouvernance de portefeuille — ont produit deux méthodologies propriétaires introuvables ailleurs :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Risk Radar©  —  double lecture du risque : le niveau perçu en haut, la maîtrise réelle sur le terrain. L'écart révèle ce que personne ne dit.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Load Matrix© 3D  —  qui fait quoi, quand, à quelle charge. Conflits de capacité et trous de couverture détectés automatiquement.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L'outil ne remplace pas le directeur. Il lui rend du temps.</w:t>
      </w:r>
    </w:p>
    <w:p>
      <w:pPr>
        <w:spacing w:after="0" w:before="200"/>
      </w:pPr>
      <w:r>
        <w:t xml:space="preserve"/>
      </w:r>
    </w:p>
    <w:p>
      <w:pPr>
        <w:pBdr>
          <w:bottom w:val="single" w:color="0B1829" w:sz="12" w:space="4"/>
        </w:pBdr>
        <w:spacing w:after="100" w:before="2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CE QUE VOUS PILOTEZ</w:t>
      </w:r>
    </w:p>
    <w:p>
      <w:pPr>
        <w:spacing w:after="80" w:before="240"/>
      </w:pPr>
      <w:r>
        <w:rPr>
          <w:rFonts w:ascii="Georgia" w:cs="Georgia" w:eastAsia="Georgia" w:hAnsi="Georgia"/>
          <w:b w:val="false"/>
          <w:bCs w:val="false"/>
          <w:color w:val="0B1829"/>
          <w:sz w:val="28"/>
          <w:szCs w:val="28"/>
        </w:rPr>
        <w:t xml:space="preserve">Dix modules. Un seul espace.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01  IA Méthodo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Analyse le projet, recommande la méthode adaptée — Waterfall, Scrum, Hybride, SAFe. Plan 90 jours inclus.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02  RACI Dynamique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Matrice de responsabilités générée selon la méthode retenue. Exportable en un clic.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03  Risk Radar©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Cartographie des risques à double niveau. Alerte dès que l'écart entre perception et réalité devient critique.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04  Load Matrix© 3D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Saisie de charge quotidienne. Détection automatique des surcharges et des ressources non couvertes.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05  Gouvernance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Organigramme décisionnel — Sponsor, Comité de pilotage, MOA, Équipe. Adapté au périmètre.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06  Finance EVM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Suivi OPEX / CAPEX, indicateurs d'avancement (CPI, SPI), prévisions à terminaison, tableau de bord Comex.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07  Documents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Espace documentaire partagé — contrats, comptes rendus, présentations, modèles de réunion.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08  Traduction requêtes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Description en langage courant → requête Jira, SQL ou Monday prête à l'emploi.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09  Environnement interne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Cartographie des projets connexes, disponibilité des équipes, dépendances entre systèmes.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F0EEEB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B1829"/>
                <w:spacing w:val="40"/>
                <w:sz w:val="18"/>
                <w:szCs w:val="18"/>
              </w:rPr>
              <w:t xml:space="preserve">10  Samaritan</w:t>
            </w:r>
          </w:p>
        </w:tc>
        <w:tc>
          <w:tcPr>
            <w:tcW w:type="dxa" w:w="6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Vue portfolio en temps réel. Alertes proactives, rapport Comex automatique.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pBdr>
          <w:bottom w:val="single" w:color="C49A2E" w:sz="12" w:space="4"/>
        </w:pBdr>
        <w:spacing w:after="100" w:before="2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ACCÈS ANNUEL — 2026 / 2027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color w:val="0B1829"/>
          <w:sz w:val="52"/>
          <w:szCs w:val="52"/>
        </w:rPr>
        <w:t xml:space="preserve">14 990 € HT</w:t>
      </w:r>
    </w:p>
    <w:p>
      <w:pPr>
        <w:spacing w:after="0" w:before="20"/>
      </w:pPr>
      <w:r>
        <w:t xml:space="preserve"/>
      </w:r>
    </w:p>
    <w:p>
      <w:pPr>
        <w:spacing w:after="60" w:before="0"/>
      </w:pPr>
      <w:r>
        <w:rPr>
          <w:rFonts w:ascii="Courier New" w:cs="Courier New" w:eastAsia="Courier New" w:hAnsi="Courier New"/>
          <w:color w:val="5A6480"/>
          <w:spacing w:val="40"/>
          <w:sz w:val="19"/>
          <w:szCs w:val="19"/>
        </w:rPr>
        <w:t xml:space="preserve">Soit 1 249 € HT / mois  ·  Facturation annuelle  ·  TVA 20 % en sus</w:t>
      </w:r>
    </w:p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Une licence annuelle couvre l'intégralité des modules, la totalité des utilisateurs et des programmes, sans restriction de périmètre.</w:t>
      </w:r>
    </w:p>
    <w:p>
      <w:pPr>
        <w:spacing w:after="0" w:before="120"/>
      </w:pPr>
      <w:r>
        <w:t xml:space="preserve"/>
      </w:r>
    </w:p>
    <w:p>
      <w:pPr>
        <w:spacing w:after="80" w:before="240"/>
      </w:pPr>
      <w:r>
        <w:rPr>
          <w:rFonts w:ascii="Georgia" w:cs="Georgia" w:eastAsia="Georgia" w:hAnsi="Georgia"/>
          <w:b w:val="false"/>
          <w:bCs w:val="false"/>
          <w:color w:val="0B1829"/>
          <w:sz w:val="28"/>
          <w:szCs w:val="28"/>
        </w:rPr>
        <w:t xml:space="preserve">Ce que comprend la licence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Modules inclus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10 — accès complet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Utilisateurs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Illimités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Programmes et projets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Illimités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Formation initiale (visioconférence)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2 heures — avec le fondateur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Support prioritaire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Réponse sous 24 heures ouvrées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Mises à jour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Incluses — sans surcoût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Exportation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PDF, Excel, Word — illimitée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Garantie de satisfaction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30 jours — remboursement intégral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single" w:color="E8E6DE" w:sz="2"/>
          <w:right w:val="none" w:color="FFFFFF" w:sz="0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Facture</w:t>
            </w:r>
          </w:p>
        </w:tc>
        <w:tc>
          <w:tcPr>
            <w:tcW w:type="dxa" w:w="5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6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1829"/>
                <w:sz w:val="20"/>
                <w:szCs w:val="20"/>
              </w:rPr>
              <w:t xml:space="preserve">Practice Retail SAS — TVA déductible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80" w:before="240"/>
      </w:pPr>
      <w:r>
        <w:rPr>
          <w:rFonts w:ascii="Georgia" w:cs="Georgia" w:eastAsia="Georgia" w:hAnsi="Georgia"/>
          <w:b w:val="false"/>
          <w:bCs w:val="false"/>
          <w:color w:val="0B1829"/>
          <w:sz w:val="28"/>
          <w:szCs w:val="28"/>
        </w:rPr>
        <w:t xml:space="preserve">Conditions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Paiement à la commande par virement bancaire ou carte (Stripe).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Activation sous 24 heures ouvrées.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Renouvellement tacite — résiliation avec préavis de 30 jours avant l'échéance.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Garantie de remboursement intégral exercée dans les 30 jours suivant l'activation, sans condition.</w:t>
      </w:r>
    </w:p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C49A2E" w:sz="8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8E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C49A2E"/>
                <w:sz w:val="48"/>
                <w:szCs w:val="48"/>
              </w:rPr>
              <w:t xml:space="preserve">14 990 € HT / an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5A6480"/>
                <w:sz w:val="20"/>
                <w:szCs w:val="20"/>
              </w:rPr>
              <w:t xml:space="preserve">Soit 17 988 € TTC</w:t>
            </w:r>
          </w:p>
          <w:p>
            <w:pPr>
              <w:spacing w:after="0" w:before="40"/>
              <w:jc w:val="center"/>
            </w:pPr>
            <w:r>
              <w:rPr>
                <w:rFonts w:ascii="Courier New" w:cs="Courier New" w:eastAsia="Courier New" w:hAnsi="Courier New"/>
                <w:color w:val="0D9488"/>
                <w:spacing w:val="40"/>
                <w:sz w:val="17"/>
                <w:szCs w:val="17"/>
              </w:rPr>
              <w:t xml:space="preserve">raphael@de-bruijn.com  ·  +33 (0)6 73 97 75 76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pBdr>
          <w:bottom w:val="single" w:color="0B1829" w:sz="12" w:space="4"/>
        </w:pBdr>
        <w:spacing w:after="100" w:before="2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LE FONDATEUR</w:t>
      </w:r>
    </w:p>
    <w:p>
      <w:pPr>
        <w:spacing w:after="120" w:before="0"/>
      </w:pPr>
      <w:r>
        <w:rPr>
          <w:rFonts w:ascii="Georgia" w:cs="Georgia" w:eastAsia="Georgia" w:hAnsi="Georgia"/>
          <w:b w:val="false"/>
          <w:bCs w:val="false"/>
          <w:color w:val="0B1829"/>
          <w:sz w:val="52"/>
          <w:szCs w:val="52"/>
        </w:rPr>
        <w:t xml:space="preserve">Raphaël de Bruijn</w:t>
      </w:r>
    </w:p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Vingt ans à la direction de programmes de transformation chez Showroomprivé (COO), Monoprix (Directeur de la Transformation), LVMH — Sephora, KPMG. PMP, D.E.C.F., SKEMA Business School.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EvolSphere n'est pas un outil bâti par des développeurs. C'est une réponse à vingt ans de frustrations face aux limites des outils existants — et à l'absence de méthode réellement terrain pour évaluer les risques et la charge.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8"/>
                <w:szCs w:val="18"/>
              </w:rPr>
              <w:t xml:space="preserve">Certification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829"/>
                <w:sz w:val="22"/>
                <w:szCs w:val="22"/>
              </w:rPr>
              <w:t xml:space="preserve">PMP — Project Management Institute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8"/>
                <w:szCs w:val="18"/>
              </w:rPr>
              <w:t xml:space="preserve">Formation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829"/>
                <w:sz w:val="22"/>
                <w:szCs w:val="22"/>
              </w:rPr>
              <w:t xml:space="preserve">D.E.C.F. Finance  ·  SKEMA Business School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8"/>
                <w:szCs w:val="18"/>
              </w:rPr>
              <w:t xml:space="preserve">Référence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829"/>
                <w:sz w:val="22"/>
                <w:szCs w:val="22"/>
              </w:rPr>
              <w:t xml:space="preserve">200+ programmes pilotés  ·  40 directeurs managés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8"/>
                <w:szCs w:val="18"/>
              </w:rPr>
              <w:t xml:space="preserve">Contact direct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829"/>
                <w:sz w:val="22"/>
                <w:szCs w:val="22"/>
              </w:rPr>
              <w:t xml:space="preserve">raphael@de-bruijn.com</w:t>
            </w:r>
          </w:p>
        </w:tc>
      </w:tr>
    </w:tbl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8"/>
                <w:szCs w:val="18"/>
              </w:rPr>
              <w:t xml:space="preserve">Disponibilité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829"/>
                <w:sz w:val="22"/>
                <w:szCs w:val="22"/>
              </w:rPr>
              <w:t xml:space="preserve">Immédiate — Mobilité internationale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E8E6DE" w:sz="12" w:space="4"/>
        </w:pBdr>
        <w:spacing w:after="100" w:before="2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GARANTIES</w:t>
      </w:r>
    </w:p>
    <w:p>
      <w:pPr>
        <w:spacing w:after="80" w:before="240"/>
      </w:pPr>
      <w:r>
        <w:rPr>
          <w:rFonts w:ascii="Georgia" w:cs="Georgia" w:eastAsia="Georgia" w:hAnsi="Georgia"/>
          <w:b w:val="false"/>
          <w:bCs w:val="false"/>
          <w:color w:val="0B1829"/>
          <w:sz w:val="28"/>
          <w:szCs w:val="28"/>
        </w:rPr>
        <w:t xml:space="preserve">Ce qui est garanti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Satisfaction — remboursement intégral dans les 30 jours, sans justification.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Activation — accès ouvert sous 24 heures ouvrées après réception du paiement.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Continuité — les mises à jour sont intégrées sans interruption de service.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Confidentialité — vos données de programme ne sont ni partagées ni exploitées à d'autres fins.</w:t>
      </w:r>
    </w:p>
    <w:p>
      <w:pPr>
        <w:pStyle w:val="ListParagraph"/>
        <w:numPr>
          <w:ilvl w:val="0"/>
          <w:numId w:val="2"/>
        </w:numPr>
        <w:spacing w:after="0" w:before="50"/>
        <w:ind w:left="400" w:hanging="24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Accompagnement — chaque licence inclut une session de démarrage en visioconférence.</w:t>
      </w:r>
    </w:p>
    <w:p>
      <w:pPr>
        <w:spacing w:after="0" w:before="200"/>
      </w:pPr>
      <w:r>
        <w:t xml:space="preserve"/>
      </w:r>
    </w:p>
    <w:p>
      <w:pPr>
        <w:pBdr>
          <w:bottom w:val="single" w:color="E8E6DE" w:sz="12" w:space="4"/>
        </w:pBdr>
        <w:spacing w:after="100" w:before="200"/>
      </w:pPr>
      <w:r>
        <w:t xml:space="preserve"/>
      </w:r>
    </w:p>
    <w:p>
      <w:pPr>
        <w:spacing w:after="80" w:before="280"/>
      </w:pPr>
      <w:r>
        <w:rPr>
          <w:rFonts w:ascii="Courier New" w:cs="Courier New" w:eastAsia="Courier New" w:hAnsi="Courier New"/>
          <w:color w:val="0D9488"/>
          <w:spacing w:val="120"/>
          <w:sz w:val="17"/>
          <w:szCs w:val="17"/>
        </w:rPr>
        <w:t xml:space="preserve">POUR ALLER PLUS LOIN</w:t>
      </w:r>
    </w:p>
    <w:p>
      <w:pPr>
        <w:spacing w:after="80" w:before="240"/>
      </w:pPr>
      <w:r>
        <w:rPr>
          <w:rFonts w:ascii="Georgia" w:cs="Georgia" w:eastAsia="Georgia" w:hAnsi="Georgia"/>
          <w:b w:val="false"/>
          <w:bCs w:val="false"/>
          <w:color w:val="0B1829"/>
          <w:sz w:val="28"/>
          <w:szCs w:val="28"/>
        </w:rPr>
        <w:t xml:space="preserve">Démo et questions</w:t>
      </w:r>
    </w:p>
    <w:p>
      <w:pPr>
        <w:spacing w:after="0"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 w:val="false"/>
          <w:iCs w:val="false"/>
          <w:color w:val="222222"/>
          <w:sz w:val="22"/>
          <w:szCs w:val="22"/>
        </w:rPr>
        <w:t xml:space="preserve">Une démonstration en visioconférence est disponible sur rendez-vous. Elle couvre les modules Risk Radar© et Load Matrix© en situation réelle, sur votre contexte.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7"/>
                <w:szCs w:val="17"/>
              </w:rPr>
              <w:t xml:space="preserve">Email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0D9488"/>
                <w:sz w:val="22"/>
                <w:szCs w:val="22"/>
              </w:rPr>
              <w:t xml:space="preserve">raphael@de-bruijn.com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color w:val="5A6480"/>
                <w:spacing w:val="60"/>
                <w:sz w:val="17"/>
                <w:szCs w:val="17"/>
              </w:rPr>
              <w:t xml:space="preserve">Téléphone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0B1829"/>
                <w:sz w:val="22"/>
                <w:szCs w:val="22"/>
              </w:rPr>
              <w:t xml:space="preserve">+33 (0)6 73 97 75 76</w:t>
            </w:r>
          </w:p>
        </w:tc>
      </w:tr>
    </w:tbl>
    <w:p>
      <w:pPr>
        <w:spacing w:after="0" w:before="60"/>
      </w:pPr>
      <w:r>
        <w:t xml:space="preserve"/>
      </w:r>
    </w:p>
    <w:p>
      <w:r>
        <w:rPr>
          <w:rFonts w:ascii="Courier New" w:cs="Courier New" w:eastAsia="Courier New" w:hAnsi="Courier New"/>
          <w:color w:val="0D9488"/>
          <w:spacing w:val="80"/>
          <w:sz w:val="18"/>
          <w:szCs w:val="18"/>
        </w:rPr>
        <w:t xml:space="preserve">evolsphere.com</w:t>
      </w:r>
    </w:p>
    <w:p>
      <w:pPr>
        <w:spacing w:after="0" w:before="200"/>
      </w:pPr>
      <w:r>
        <w:t xml:space="preserve"/>
      </w:r>
    </w:p>
    <w:p>
      <w:pPr>
        <w:pBdr>
          <w:bottom w:val="single" w:color="E8E6DE" w:sz="2"/>
        </w:pBdr>
        <w:spacing w:after="0" w:before="0"/>
      </w:pPr>
      <w:r>
        <w:t xml:space="preserve"/>
      </w:r>
    </w:p>
    <w:p>
      <w:pPr>
        <w:spacing w:after="0" w:before="60"/>
      </w:pPr>
      <w:r>
        <w:rPr>
          <w:rFonts w:ascii="Courier New" w:cs="Courier New" w:eastAsia="Courier New" w:hAnsi="Courier New"/>
          <w:color w:val="BBBBBB"/>
          <w:spacing w:val="50"/>
          <w:sz w:val="15"/>
          <w:szCs w:val="15"/>
        </w:rPr>
        <w:t xml:space="preserve">Document confidentiel  ·  Practice Retail SAS  ·  Juin 2026  ·  evolsphere.com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40" w:hanging="240"/>
      </w:pPr>
      <w:rPr>
        <w:rFonts w:ascii="Calibri" w:cs="Calibri" w:eastAsia="Calibri" w:hAnsi="Calibri"/>
        <w:color w:val="C49A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2026-06-20T17:24:27.037Z</dcterms:created>
  <dcterms:modified xsi:type="dcterms:W3CDTF">2026-06-20T17:24:27.061Z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