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Dear members of the CEOAS Community, </w:t>
      </w:r>
    </w:p>
    <w:p>
      <w:pPr>
        <w:autoSpaceDN w:val="0"/>
        <w:autoSpaceDE w:val="0"/>
        <w:widowControl/>
        <w:spacing w:line="292" w:lineRule="exact" w:before="238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We write to you today in solidarity with Black communities across the nation and to condemn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murders of George Floyd, Breonna Taylor, Ahmaud Arbery, and the countless other acts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violence which occur due to pervasive systemic and institutionalized racism in this country. We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support Black Lives Matter and ask that you join us in committing support to the Black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community and in creating a more equitable and just academic community. </w:t>
      </w:r>
    </w:p>
    <w:p>
      <w:pPr>
        <w:autoSpaceDN w:val="0"/>
        <w:autoSpaceDE w:val="0"/>
        <w:widowControl/>
        <w:spacing w:line="292" w:lineRule="exact" w:before="23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It is important for us to acknowledge that, as educators, scientific experts, and individuals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working at an institution of higher education, we are in a unique position of power. Our actions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our words resonate; they have the power to not only shape the climate of CEOAS, but also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 influence our students, community members, and political leadership. We have opportunities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 express support for justice as we share our science and innovations, as individuals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together in groups. </w:t>
      </w:r>
    </w:p>
    <w:p>
      <w:pPr>
        <w:autoSpaceDN w:val="0"/>
        <w:autoSpaceDE w:val="0"/>
        <w:widowControl/>
        <w:spacing w:line="292" w:lineRule="exact" w:before="23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In a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r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ecent college-wide email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on June 3, CEOAS leadership stated, “</w:t>
      </w:r>
      <w:r>
        <w:rPr>
          <w:rFonts w:ascii="ArialMT" w:hAnsi="ArialMT" w:eastAsia="ArialMT"/>
          <w:b w:val="0"/>
          <w:i w:val="0"/>
          <w:color w:val="000000"/>
          <w:sz w:val="22"/>
        </w:rPr>
        <w:t>We write to express our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sup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p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>ort for all members of our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community, and most especially, our underrepresented members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that have faced discrimination by those who have had greater advantages and privileges.” We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need to recognize that STEM spaces are often hostile to students, faculty, and staff of non-</w:t>
      </w:r>
      <w:r>
        <w:rPr>
          <w:rFonts w:ascii="ArialMT" w:hAnsi="ArialMT" w:eastAsia="ArialMT"/>
          <w:b w:val="0"/>
          <w:i w:val="0"/>
          <w:color w:val="000000"/>
          <w:sz w:val="22"/>
        </w:rPr>
        <w:t>dominant identities. Notably, the geosciences are among the least diverse STEM disciplines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and have one of the lowest representations of Black Americans (see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 xml:space="preserve"> Livingston 2018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t xml:space="preserve">,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Bernard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and Cooperdock 2018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King et al. 2018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hyperlink r:id="rId12" w:history="1">
          <w:r>
            <w:rPr>
              <w:rStyle w:val="Hyperlink"/>
            </w:rPr>
            <w:t>,</w:t>
          </w:r>
        </w:hyperlink>
      </w:r>
      <w:r>
        <w:rPr>
          <w:rFonts w:ascii="ArialMT" w:hAnsi="ArialMT" w:eastAsia="ArialMT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 xml:space="preserve"> Dutt 2020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hyperlink r:id="rId13" w:history="1">
          <w:r>
            <w:rPr>
              <w:rStyle w:val="Hyperlink"/>
            </w:rPr>
            <w:t>)</w:t>
          </w:r>
        </w:hyperlink>
      </w:r>
      <w:r>
        <w:rPr>
          <w:rFonts w:ascii="ArialMT" w:hAnsi="ArialMT" w:eastAsia="ArialMT"/>
          <w:b w:val="0"/>
          <w:i w:val="0"/>
          <w:color w:val="2D2D2D"/>
          <w:sz w:val="22"/>
        </w:rPr>
        <w:t xml:space="preserve">. </w:t>
      </w:r>
      <w:r>
        <w:rPr>
          <w:rFonts w:ascii="ArialMT" w:hAnsi="ArialMT" w:eastAsia="ArialMT"/>
          <w:b w:val="0"/>
          <w:i w:val="0"/>
          <w:color w:val="000000"/>
          <w:sz w:val="22"/>
        </w:rPr>
        <w:t>Truly, if we intend to act “in solidarity with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all individuals that see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k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 xml:space="preserve">equity, justice, 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a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hyperlink r:id="rId13" w:history="1">
          <w:r>
            <w:rPr>
              <w:rStyle w:val="Hyperlink"/>
            </w:rPr>
            <w:t>nd peacefu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2"/>
        </w:rPr>
        <w:t>l co-existence”, then we need to address the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climate of institutionalized racism that we all participate in. Stating that one stands in solidarity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with minoritized communities is not enough -- we must reflect on our individual roles in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intentionally creating an inclusive climate in our college, our university, and STEM fields in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2"/>
        </w:rPr>
        <w:t>general.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36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Moving forward, w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e, the organizers of the Unpacking Diversity: CEOAS PLC recommit to the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following in our activities: </w:t>
      </w:r>
    </w:p>
    <w:p>
      <w:pPr>
        <w:autoSpaceDN w:val="0"/>
        <w:autoSpaceDE w:val="0"/>
        <w:widowControl/>
        <w:spacing w:line="290" w:lineRule="exact" w:before="242" w:after="0"/>
        <w:ind w:left="722" w:right="0" w:hanging="362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We commit to using our voices and our work to support non-dominant communities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to amplify the voices, struggles, and narratives of Black and Brown communities. We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must actively listen to Black and Brown voices and understand their lived experiences,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remain vigilant in ensuring their realities are not dismissed in conversation. </w:t>
      </w:r>
    </w:p>
    <w:p>
      <w:pPr>
        <w:autoSpaceDN w:val="0"/>
        <w:autoSpaceDE w:val="0"/>
        <w:widowControl/>
        <w:spacing w:line="290" w:lineRule="exact" w:before="12" w:after="0"/>
        <w:ind w:left="722" w:right="0" w:hanging="362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We commit to keeping our sessions and events a brave space for students, faculty,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staff from all non-dominant identities. We will follow from example from invited facilitators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who prioritize safety for all non-dominant identities, and further learn how we may better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support our college members in STEM environments. </w:t>
      </w:r>
    </w:p>
    <w:p>
      <w:pPr>
        <w:autoSpaceDN w:val="0"/>
        <w:autoSpaceDE w:val="0"/>
        <w:widowControl/>
        <w:spacing w:line="292" w:lineRule="exact" w:before="10" w:after="0"/>
        <w:ind w:left="722" w:right="144" w:hanging="362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● We will listen to students as we fulfill our capacity as educators and mentors when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creating welcoming learning environments. However, in our efforts to foster equitable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classrooms, we may fail to respond to marginalized students' needs. We will anticipate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shortcoming and address such needs, whether those needs are explicitly asked for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by individual students or not. </w:t>
      </w:r>
    </w:p>
    <w:p>
      <w:pPr>
        <w:sectPr>
          <w:pgSz w:w="12240" w:h="15840"/>
          <w:pgMar w:top="704" w:right="1380" w:bottom="936" w:left="1440" w:header="720" w:footer="720" w:gutter="0"/>
          <w:cols w:space="720" w:num="1" w:equalWidth="0"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0" w:lineRule="exact" w:before="1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For those of us with the privilege that enables these events to move out of focus, we have to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understand this work is ongoing. Our attention cannot end even after recent events and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demonstrations fade from the foreground. This is the lived experience of Black and Brown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communities every day. While often uncomfortable, it is incumbent upon us, particularly those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us from dominant identities, to strive for a more socially just society. We must show that we are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willing to put in the effort, work, and care to actuate change. </w:t>
      </w:r>
    </w:p>
    <w:p>
      <w:pPr>
        <w:autoSpaceDN w:val="0"/>
        <w:autoSpaceDE w:val="0"/>
        <w:widowControl/>
        <w:spacing w:line="290" w:lineRule="exact" w:before="242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We hope that you, as part of the CEOAS community, will join us in these commitments </w:t>
      </w:r>
      <w:r>
        <w:rPr>
          <w:rFonts w:ascii="" w:hAnsi="" w:eastAsia=""/>
          <w:b/>
          <w:i w:val="0"/>
          <w:color w:val="2D2D2D"/>
          <w:sz w:val="22"/>
        </w:rPr>
        <w:t>to</w:t>
      </w:r>
      <w:r>
        <w:rPr>
          <w:rFonts w:ascii="" w:hAnsi="" w:eastAsia=""/>
          <w:b/>
          <w:i w:val="0"/>
          <w:color w:val="2D2D2D"/>
          <w:sz w:val="22"/>
        </w:rPr>
        <w:t xml:space="preserve"> </w:t>
      </w:r>
      <w:r>
        <w:rPr>
          <w:rFonts w:ascii="" w:hAnsi="" w:eastAsia=""/>
          <w:b/>
          <w:i w:val="0"/>
          <w:color w:val="2D2D2D"/>
          <w:sz w:val="22"/>
        </w:rPr>
        <w:t>create an inclusive, diverse, and equitable college by signing your name below</w:t>
      </w:r>
      <w:r>
        <w:rPr>
          <w:rFonts w:ascii="" w:hAnsi="" w:eastAsia=""/>
          <w:b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2" w:lineRule="exact" w:before="22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In solidarity, </w:t>
      </w:r>
    </w:p>
    <w:p>
      <w:pPr>
        <w:autoSpaceDN w:val="0"/>
        <w:autoSpaceDE w:val="0"/>
        <w:widowControl/>
        <w:spacing w:line="302" w:lineRule="exact" w:before="23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Unpacking Diversity: CEOAS Professional Learning Community Organizers </w:t>
      </w:r>
    </w:p>
    <w:p>
      <w:pPr>
        <w:sectPr>
          <w:pgSz w:w="12240" w:h="15840"/>
          <w:pgMar w:top="704" w:right="1394" w:bottom="1440" w:left="1440" w:header="720" w:footer="720" w:gutter="0"/>
          <w:cols w:space="720" w:num="1" w:equalWidth="0">
            <w:col w:w="9406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12" w:right="0" w:firstLine="0"/>
        <w:jc w:val="left"/>
      </w:pPr>
      <w:r>
        <w:rPr>
          <w:w w:val="98.18181991577148"/>
          <w:rFonts w:ascii="" w:hAnsi="" w:eastAsia=""/>
          <w:b w:val="0"/>
          <w:i/>
          <w:color w:val="000000"/>
          <w:sz w:val="22"/>
        </w:rPr>
        <w:t xml:space="preserve">Unpacking Diversity Recommendations for Community Change at CEOAS - June 26, 2020 </w:t>
      </w:r>
    </w:p>
    <w:p>
      <w:pPr>
        <w:autoSpaceDN w:val="0"/>
        <w:autoSpaceDE w:val="0"/>
        <w:widowControl/>
        <w:spacing w:line="254" w:lineRule="exact" w:before="466" w:after="0"/>
        <w:ind w:left="12" w:right="0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1.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We request that graduate students and postdocs are included in faculty hiring at every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stage of the process, from reading applicant materials to final decisions. </w:t>
      </w:r>
    </w:p>
    <w:p>
      <w:pPr>
        <w:autoSpaceDN w:val="0"/>
        <w:tabs>
          <w:tab w:pos="732" w:val="left"/>
        </w:tabs>
        <w:autoSpaceDE w:val="0"/>
        <w:widowControl/>
        <w:spacing w:line="252" w:lineRule="exact" w:before="0" w:after="0"/>
        <w:ind w:left="372" w:right="576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Graduate students and postdocs should be able to apply for spots on faculty hiring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committees and/or serve on panels to evaluate potential faculty hires. </w:t>
      </w:r>
    </w:p>
    <w:p>
      <w:pPr>
        <w:autoSpaceDN w:val="0"/>
        <w:tabs>
          <w:tab w:pos="732" w:val="left"/>
        </w:tabs>
        <w:autoSpaceDE w:val="0"/>
        <w:widowControl/>
        <w:spacing w:line="252" w:lineRule="exact" w:before="2" w:after="0"/>
        <w:ind w:left="372" w:right="0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This ensures student/early career opinions are not ignored in the discipline groups’ hiring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decisions, especially when involved students/postdocs have shown a commitment to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anti-racist hiring practices </w:t>
      </w:r>
      <w:r>
        <w:br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Care should be taken such that these hiring committees acknowledge and address the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issues with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  <w:u w:val="single"/>
        </w:rPr>
        <w:t>power dynamics on such committees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 when graduate students are involved,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and they should incorporate guidance from the wealth of literature available. </w:t>
      </w:r>
    </w:p>
    <w:p>
      <w:pPr>
        <w:autoSpaceDN w:val="0"/>
        <w:tabs>
          <w:tab w:pos="372" w:val="left"/>
        </w:tabs>
        <w:autoSpaceDE w:val="0"/>
        <w:widowControl/>
        <w:spacing w:line="252" w:lineRule="exact" w:before="258" w:after="0"/>
        <w:ind w:left="12" w:right="432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2.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We request that data about resources and funding allocated towards past, present,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>and planned CEOAS diversity initiatives be compiled and released.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 These include: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A breakdown of how and where current resources are allocated. </w:t>
      </w:r>
    </w:p>
    <w:p>
      <w:pPr>
        <w:autoSpaceDN w:val="0"/>
        <w:tabs>
          <w:tab w:pos="732" w:val="left"/>
        </w:tabs>
        <w:autoSpaceDE w:val="0"/>
        <w:widowControl/>
        <w:spacing w:line="254" w:lineRule="exact" w:before="0" w:after="0"/>
        <w:ind w:left="372" w:right="144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A written statement of perceived and measurable impacts of these resource allocations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on historically marginalized groups in academia. </w:t>
      </w:r>
    </w:p>
    <w:p>
      <w:pPr>
        <w:autoSpaceDN w:val="0"/>
        <w:tabs>
          <w:tab w:pos="732" w:val="left"/>
        </w:tabs>
        <w:autoSpaceDE w:val="0"/>
        <w:widowControl/>
        <w:spacing w:line="252" w:lineRule="exact" w:before="0" w:after="0"/>
        <w:ind w:left="372" w:right="432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Which faculty have worked on and participated in with respect to the aforementioned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diversity initiatives. </w:t>
      </w:r>
    </w:p>
    <w:p>
      <w:pPr>
        <w:autoSpaceDN w:val="0"/>
        <w:autoSpaceDE w:val="0"/>
        <w:widowControl/>
        <w:spacing w:line="254" w:lineRule="exact" w:before="250" w:after="0"/>
        <w:ind w:left="12" w:right="144" w:firstLine="0"/>
        <w:jc w:val="left"/>
      </w:pP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3. We request the removal of financial barriers for undergraduate and graduate students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to enter and succeed at CEOAS. </w:t>
      </w:r>
    </w:p>
    <w:p>
      <w:pPr>
        <w:autoSpaceDN w:val="0"/>
        <w:autoSpaceDE w:val="0"/>
        <w:widowControl/>
        <w:spacing w:line="252" w:lineRule="exact" w:before="2" w:after="0"/>
        <w:ind w:left="732" w:right="0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Remove the GRE requirement from graduate application considerations to CEOAS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programs, because test-optional scores can still introduce potential bias when reviewing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applications. </w:t>
      </w:r>
    </w:p>
    <w:p>
      <w:pPr>
        <w:autoSpaceDN w:val="0"/>
        <w:tabs>
          <w:tab w:pos="732" w:val="left"/>
        </w:tabs>
        <w:autoSpaceDE w:val="0"/>
        <w:widowControl/>
        <w:spacing w:line="254" w:lineRule="exact" w:before="2" w:after="0"/>
        <w:ind w:left="372" w:right="1008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Waive application fees for applicants of low socioeconomic status or waive the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application fees altogether. </w:t>
      </w:r>
    </w:p>
    <w:p>
      <w:pPr>
        <w:autoSpaceDN w:val="0"/>
        <w:autoSpaceDE w:val="0"/>
        <w:widowControl/>
        <w:spacing w:line="252" w:lineRule="exact" w:before="0" w:after="0"/>
        <w:ind w:left="732" w:right="144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Invest in or create fellowships and/or scholarships set aside specifically for Students of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Color. While the Diversity Pipeline Fellowship exists, it does not specifically apply to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Students of Color. </w:t>
      </w:r>
    </w:p>
    <w:p>
      <w:pPr>
        <w:autoSpaceDN w:val="0"/>
        <w:autoSpaceDE w:val="0"/>
        <w:widowControl/>
        <w:spacing w:line="254" w:lineRule="exact" w:before="250" w:after="0"/>
        <w:ind w:left="12" w:right="0" w:firstLine="0"/>
        <w:jc w:val="left"/>
      </w:pP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4. We request that CEOAS build collaborative relationships with diversity–driven student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organizations. </w:t>
      </w:r>
    </w:p>
    <w:p>
      <w:pPr>
        <w:autoSpaceDN w:val="0"/>
        <w:autoSpaceDE w:val="0"/>
        <w:widowControl/>
        <w:spacing w:line="254" w:lineRule="exact" w:before="0" w:after="0"/>
        <w:ind w:left="732" w:right="288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These organizations (E.g. OSU Society for Advancement of Chicanos/Hispanics and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Native Americans in Science, Out in Science, Technology, Engineering, and </w:t>
      </w:r>
      <w:r>
        <w:br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Mathematics (oSTEM), and the seven cultural centers) support marginalized students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such as BIPOC, LGBTQIA+. </w:t>
      </w:r>
    </w:p>
    <w:p>
      <w:pPr>
        <w:autoSpaceDN w:val="0"/>
        <w:tabs>
          <w:tab w:pos="732" w:val="left"/>
        </w:tabs>
        <w:autoSpaceDE w:val="0"/>
        <w:widowControl/>
        <w:spacing w:line="252" w:lineRule="exact" w:before="0" w:after="0"/>
        <w:ind w:left="372" w:right="432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Local chapters and/or groups could be welcomed into the College by an invitation to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present during a recruitment drive or other event. </w:t>
      </w:r>
    </w:p>
    <w:p>
      <w:pPr>
        <w:autoSpaceDN w:val="0"/>
        <w:autoSpaceDE w:val="0"/>
        <w:widowControl/>
        <w:spacing w:line="252" w:lineRule="exact" w:before="252" w:after="0"/>
        <w:ind w:left="12" w:right="0" w:firstLine="0"/>
        <w:jc w:val="left"/>
      </w:pP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5.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To diversify the applicant pool of the College,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we request a permanent fund be established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to send BIPOC, LGBTQIA+ undergraduate, graduate students, and a professor to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diversity-oriented conferences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>such as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SACNAS, oSTEM, SciAccess, National Conference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on Race and Ethnicity in American Higher Education, American Indian Science and Engineering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Society, and National Association for Black Geoscientists. </w:t>
      </w:r>
    </w:p>
    <w:p>
      <w:pPr>
        <w:autoSpaceDN w:val="0"/>
        <w:autoSpaceDE w:val="0"/>
        <w:widowControl/>
        <w:spacing w:line="252" w:lineRule="exact" w:before="2" w:after="0"/>
        <w:ind w:left="732" w:right="0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This grants students from traditionally underrepresented communities in STEM </w:t>
      </w:r>
      <w:r>
        <w:br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opportunities to form interdisciplinary networks, better familiarize themselves with career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options, and present their research to a national audience of peers. </w:t>
      </w:r>
    </w:p>
    <w:p>
      <w:pPr>
        <w:autoSpaceDN w:val="0"/>
        <w:autoSpaceDE w:val="0"/>
        <w:widowControl/>
        <w:spacing w:line="252" w:lineRule="exact" w:before="2" w:after="0"/>
        <w:ind w:left="732" w:right="144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These conferences provide students with a sense of community and belonging that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contributes to retention, especially in STEM disciplines which are notoriously lacking in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diversity. </w:t>
      </w:r>
    </w:p>
    <w:p>
      <w:pPr>
        <w:sectPr>
          <w:pgSz w:w="12240" w:h="15840"/>
          <w:pgMar w:top="370" w:right="1354" w:bottom="874" w:left="1440" w:header="720" w:footer="720" w:gutter="0"/>
          <w:cols w:space="720" w:num="1" w:equalWidth="0">
            <w:col w:w="9446" w:space="0"/>
            <w:col w:w="9406" w:space="0"/>
            <w:col w:w="94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12" w:right="0" w:firstLine="0"/>
        <w:jc w:val="left"/>
      </w:pPr>
      <w:r>
        <w:rPr>
          <w:w w:val="98.18181991577148"/>
          <w:rFonts w:ascii="" w:hAnsi="" w:eastAsia=""/>
          <w:b w:val="0"/>
          <w:i/>
          <w:color w:val="000000"/>
          <w:sz w:val="22"/>
        </w:rPr>
        <w:t xml:space="preserve">Unpacking Diversity Recommendations for Community Change at CEOAS - June 26, 2020 </w:t>
      </w:r>
    </w:p>
    <w:p>
      <w:pPr>
        <w:autoSpaceDN w:val="0"/>
        <w:autoSpaceDE w:val="0"/>
        <w:widowControl/>
        <w:spacing w:line="252" w:lineRule="exact" w:before="468" w:after="0"/>
        <w:ind w:left="12" w:right="0" w:firstLine="0"/>
        <w:jc w:val="left"/>
      </w:pP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6. We request that CEOAS diversify seminars by requiring disciplines to invite and cover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honoraria of at least one speaker per year from historically marginalized communities,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and/or speakers whose work impacts those communities. </w:t>
      </w:r>
    </w:p>
    <w:p>
      <w:pPr>
        <w:autoSpaceDN w:val="0"/>
        <w:autoSpaceDE w:val="0"/>
        <w:widowControl/>
        <w:spacing w:line="254" w:lineRule="exact" w:before="0" w:after="0"/>
        <w:ind w:left="732" w:right="0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For example, discussions of how climate change impacts disproportionately poor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communities and Communities of Color, as well as eco-racism, are lacking from the core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curriculum in CEOAS. </w:t>
      </w:r>
    </w:p>
    <w:p>
      <w:pPr>
        <w:autoSpaceDN w:val="0"/>
        <w:tabs>
          <w:tab w:pos="1092" w:val="left"/>
          <w:tab w:pos="1452" w:val="left"/>
        </w:tabs>
        <w:autoSpaceDE w:val="0"/>
        <w:widowControl/>
        <w:spacing w:line="252" w:lineRule="exact" w:before="0" w:after="0"/>
        <w:ind w:left="372" w:right="288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Examples from prior CEOAS seminars include: </w:t>
      </w:r>
      <w:r>
        <w:br/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A. Dr. Laura Pulido (University of Oregon; Unpacking Diversity invited keynote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speaker) </w:t>
      </w:r>
      <w:r>
        <w:br/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B. Dr. Kenneth Ridgway (Purdue University; George Moore and Thomas Condon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lectures) </w:t>
      </w:r>
      <w:r>
        <w:br/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C. Kassandra Rippee (Coquille Nation; for G&amp;G seminars). </w:t>
      </w:r>
    </w:p>
    <w:p>
      <w:pPr>
        <w:autoSpaceDN w:val="0"/>
        <w:tabs>
          <w:tab w:pos="372" w:val="left"/>
          <w:tab w:pos="732" w:val="left"/>
        </w:tabs>
        <w:autoSpaceDE w:val="0"/>
        <w:widowControl/>
        <w:spacing w:line="254" w:lineRule="exact" w:before="250" w:after="0"/>
        <w:ind w:left="12" w:right="144" w:firstLine="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7.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We request the creation of an anti-racist and anti-discriminatory code of conduct with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actionable repercussions for violations that all members of the College are required to </w:t>
      </w:r>
      <w:r>
        <w:rPr>
          <w:w w:val="98.18181991577148"/>
          <w:rFonts w:ascii="" w:hAnsi="" w:eastAsia=""/>
          <w:b/>
          <w:i w:val="0"/>
          <w:color w:val="000000"/>
          <w:sz w:val="22"/>
        </w:rPr>
        <w:t xml:space="preserve">sign and include and discuss as part of standard operations.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In doing so, college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leadership should be responsible for: </w:t>
      </w:r>
      <w:r>
        <w:br/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Communicating and coordinating discussions outlining what is expected of members of </w:t>
      </w:r>
      <w:r>
        <w:tab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the department in the code of conduct at faculty and College meetings. </w:t>
      </w:r>
    </w:p>
    <w:p>
      <w:pPr>
        <w:autoSpaceDN w:val="0"/>
        <w:autoSpaceDE w:val="0"/>
        <w:widowControl/>
        <w:spacing w:line="254" w:lineRule="exact" w:before="0" w:after="0"/>
        <w:ind w:left="732" w:right="0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Taking all necessary measures to support victims of and protect members of the college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from racist and discriminatory incidents including, but not limited to, preparing </w:t>
      </w:r>
      <w:r>
        <w:br/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emergency protocol for situations in which members of Communities of Color may be in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danger due to racist environments in the field or elsewhere, clear and transparent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responses to racially motivated incidents, protection from retaliation for individual(s)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reporting a bias incident or whistleblowing. </w:t>
      </w:r>
    </w:p>
    <w:p>
      <w:pPr>
        <w:autoSpaceDN w:val="0"/>
        <w:autoSpaceDE w:val="0"/>
        <w:widowControl/>
        <w:spacing w:line="252" w:lineRule="exact" w:before="2" w:after="0"/>
        <w:ind w:left="732" w:right="0" w:hanging="360"/>
        <w:jc w:val="left"/>
      </w:pP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● A preprint of an article "Ten simple rules for building an anti-racist lab" was published by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geoscientists Bala Chaudhary and Asmeret Berhe, accessed here: </w:t>
      </w:r>
      <w:r>
        <w:br/>
      </w:r>
      <w:r>
        <w:rPr>
          <w:w w:val="98.18181991577148"/>
          <w:rFonts w:ascii="ArialMT" w:hAnsi="ArialMT" w:eastAsia="ArialMT"/>
          <w:b w:val="0"/>
          <w:i w:val="0"/>
          <w:color w:val="1154CC"/>
          <w:sz w:val="22"/>
          <w:u w:val="single"/>
        </w:rPr>
        <w:t>https://ecoevorxiv.org/4a9p8/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. This provides a starting point for discussions for PIs about </w:t>
      </w:r>
      <w:r>
        <w:rPr>
          <w:w w:val="98.18181991577148"/>
          <w:rFonts w:ascii="ArialMT" w:hAnsi="ArialMT" w:eastAsia="ArialMT"/>
          <w:b w:val="0"/>
          <w:i w:val="0"/>
          <w:color w:val="000000"/>
          <w:sz w:val="22"/>
        </w:rPr>
        <w:t xml:space="preserve">anti-racist codes of conduct. </w:t>
      </w:r>
    </w:p>
    <w:sectPr w:rsidR="00FC693F" w:rsidRPr="0006063C" w:rsidSect="00034616">
      <w:pgSz w:w="12240" w:h="15840"/>
      <w:pgMar w:top="370" w:right="1380" w:bottom="1440" w:left="1440" w:header="720" w:footer="720" w:gutter="0"/>
      <w:cols w:space="720" w:num="1" w:equalWidth="0">
        <w:col w:w="9420" w:space="0"/>
        <w:col w:w="9446" w:space="0"/>
        <w:col w:w="9406" w:space="0"/>
        <w:col w:w="94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acebook.com/osuceoas/posts/2775530989239836" TargetMode="External"/><Relationship Id="rId10" Type="http://schemas.openxmlformats.org/officeDocument/2006/relationships/hyperlink" Target="https://www.capeandislands.org/post/woods-hole-science-institutions-stung-diversity-report-preponderance-overt-racism#stream/0" TargetMode="External"/><Relationship Id="rId11" Type="http://schemas.openxmlformats.org/officeDocument/2006/relationships/hyperlink" Target="https://www.nature.com/articles/s41561-018-0116-6?proof=trueMay" TargetMode="External"/><Relationship Id="rId12" Type="http://schemas.openxmlformats.org/officeDocument/2006/relationships/hyperlink" Target="https://www.facetsjournal.com/doi/10.1139/facets-2017-0111" TargetMode="External"/><Relationship Id="rId13" Type="http://schemas.openxmlformats.org/officeDocument/2006/relationships/hyperlink" Target="https://www.nature.com/articles/s41561-019-0519-z?utm_source=facebook&amp;utm_medium=social&amp;utm_content=organic&amp;utm_campaign=NGMT_2_JNC_NRJour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