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36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Agenda/Outline for DEI Meeting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Working with students, faculty, and postdocs in DEES and at Lamont, we have compiled a list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demands to address diversity, equity, and inclusion on our campus. </w:t>
      </w:r>
    </w:p>
    <w:p>
      <w:pPr>
        <w:autoSpaceDN w:val="0"/>
        <w:autoSpaceDE w:val="0"/>
        <w:widowControl/>
        <w:spacing w:line="246" w:lineRule="exact" w:before="2" w:after="4"/>
        <w:ind w:left="10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  <w:u w:val="single"/>
        </w:rPr>
        <w:t>Goals: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96"/>
        <w:gridCol w:w="4896"/>
      </w:tblGrid>
      <w:tr>
        <w:trPr>
          <w:trHeight w:hRule="exact" w:val="233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" w:after="0"/>
              <w:ind w:left="720" w:right="1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</w:p>
          <w:p>
            <w:pPr>
              <w:autoSpaceDN w:val="0"/>
              <w:autoSpaceDE w:val="0"/>
              <w:widowControl/>
              <w:spacing w:line="256" w:lineRule="exact" w:before="250" w:after="0"/>
              <w:ind w:left="742" w:right="11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</w:p>
          <w:p>
            <w:pPr>
              <w:autoSpaceDN w:val="0"/>
              <w:autoSpaceDE w:val="0"/>
              <w:widowControl/>
              <w:spacing w:line="246" w:lineRule="exact" w:before="258" w:after="0"/>
              <w:ind w:left="0" w:right="1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●</w:t>
            </w:r>
          </w:p>
        </w:tc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Briefly summarize past/ongoing DEI actions/initiatives at LDEO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Outline immediate, short, and long term goals for DEI action at Lamont and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DEES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Offer a broad outline/direction for the DEI Task Force, GSC, and other groups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Discuss timelines and budgets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Determine where the DEI goals of DEES and LDEO intersect and how to support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both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How do you feel about all of the points above and are there any other DEI goals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that have not been addressed?</w:t>
            </w:r>
          </w:p>
        </w:tc>
      </w:tr>
    </w:tbl>
    <w:p>
      <w:pPr>
        <w:autoSpaceDN w:val="0"/>
        <w:autoSpaceDE w:val="0"/>
        <w:widowControl/>
        <w:spacing w:line="246" w:lineRule="exact" w:before="198" w:after="280"/>
        <w:ind w:left="36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Below are immediate, short term, and long term recommendations to address these concerns: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632"/>
        <w:gridCol w:w="1632"/>
        <w:gridCol w:w="1632"/>
        <w:gridCol w:w="1632"/>
        <w:gridCol w:w="1632"/>
        <w:gridCol w:w="1632"/>
      </w:tblGrid>
      <w:tr>
        <w:trPr>
          <w:trHeight w:hRule="exact" w:val="1228"/>
        </w:trPr>
        <w:tc>
          <w:tcPr>
            <w:tcW w:type="dxa" w:w="1876"/>
            <w:tcBorders>
              <w:start w:sz="7.199999999999989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da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90" w:right="28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Program or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Initiative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 xml:space="preserve">(LDEO and/or </w:t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DEES?)</w:t>
            </w:r>
          </w:p>
        </w:tc>
        <w:tc>
          <w:tcPr>
            <w:tcW w:type="dxa" w:w="105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c9da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50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In place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now?</w:t>
            </w:r>
          </w:p>
        </w:tc>
        <w:tc>
          <w:tcPr>
            <w:tcW w:type="dxa" w:w="143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shd w:fill="c9da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50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When to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implement?</w:t>
            </w:r>
          </w:p>
        </w:tc>
        <w:tc>
          <w:tcPr>
            <w:tcW w:type="dxa" w:w="139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shd w:fill="c9da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82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Budget</w:t>
            </w:r>
          </w:p>
        </w:tc>
        <w:tc>
          <w:tcPr>
            <w:tcW w:type="dxa" w:w="1560"/>
            <w:tcBorders>
              <w:start w:sz="7.200000000000273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shd w:fill="c9da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26" w:after="0"/>
              <w:ind w:left="9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Personnel to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move item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forward</w:t>
            </w:r>
          </w:p>
        </w:tc>
        <w:tc>
          <w:tcPr>
            <w:tcW w:type="dxa" w:w="239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shd w:fill="c9da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82" w:after="0"/>
              <w:ind w:left="8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Next steps</w:t>
            </w:r>
          </w:p>
        </w:tc>
      </w:tr>
      <w:tr>
        <w:trPr>
          <w:trHeight w:hRule="exact" w:val="1994"/>
        </w:trPr>
        <w:tc>
          <w:tcPr>
            <w:tcW w:type="dxa" w:w="1876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2" w:after="0"/>
              <w:ind w:left="90" w:right="432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Creating an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Inclusive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Culture at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Lamont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(LDEO)</w:t>
            </w:r>
          </w:p>
        </w:tc>
        <w:tc>
          <w:tcPr>
            <w:tcW w:type="dxa" w:w="105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2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In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progress</w:t>
            </w:r>
          </w:p>
        </w:tc>
        <w:tc>
          <w:tcPr>
            <w:tcW w:type="dxa" w:w="1436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Immediately</w:t>
            </w:r>
          </w:p>
        </w:tc>
        <w:tc>
          <w:tcPr>
            <w:tcW w:type="dxa" w:w="1390"/>
            <w:tcBorders>
              <w:start w:sz="7.199999999999818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2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$50 - 1,000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/ event</w:t>
            </w:r>
          </w:p>
        </w:tc>
        <w:tc>
          <w:tcPr>
            <w:tcW w:type="dxa" w:w="1560"/>
            <w:tcBorders>
              <w:start w:sz="7.200000000000273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GSC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(Social,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Professional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Development,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and Diversity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Chairs) &amp;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Kuheli</w:t>
            </w:r>
          </w:p>
        </w:tc>
        <w:tc>
          <w:tcPr>
            <w:tcW w:type="dxa" w:w="239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86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Create fund(s) for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workshops, coffee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hours, DEI events,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etc.</w:t>
            </w:r>
          </w:p>
        </w:tc>
      </w:tr>
      <w:tr>
        <w:trPr>
          <w:trHeight w:hRule="exact" w:val="1232"/>
        </w:trPr>
        <w:tc>
          <w:tcPr>
            <w:tcW w:type="dxa" w:w="1876"/>
            <w:vMerge w:val="restart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90" w:right="14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DEI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Compensation </w:t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(LDEO/DEES)</w:t>
            </w:r>
          </w:p>
        </w:tc>
        <w:tc>
          <w:tcPr>
            <w:tcW w:type="dxa" w:w="1056"/>
            <w:vMerge w:val="restart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2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1436"/>
            <w:vMerge w:val="restart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90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Short term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(weeks -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month)</w:t>
            </w:r>
          </w:p>
        </w:tc>
        <w:tc>
          <w:tcPr>
            <w:tcW w:type="dxa" w:w="1390"/>
            <w:tcBorders>
              <w:start w:sz="7.199999999999818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90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$18,000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(three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$6,000/yr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Fellows)</w:t>
            </w:r>
          </w:p>
        </w:tc>
        <w:tc>
          <w:tcPr>
            <w:tcW w:type="dxa" w:w="1560"/>
            <w:vMerge w:val="restart"/>
            <w:tcBorders>
              <w:start w:sz="7.200000000000273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6" w:after="0"/>
              <w:ind w:left="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Task Force</w:t>
            </w:r>
          </w:p>
        </w:tc>
        <w:tc>
          <w:tcPr>
            <w:tcW w:type="dxa" w:w="2392"/>
            <w:vMerge w:val="restart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8" w:after="0"/>
              <w:ind w:left="8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Create fellowship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program; Hourly pay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for leading DEI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volunteers; Actively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incentivize LRP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faculty via promotion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process</w:t>
            </w:r>
          </w:p>
        </w:tc>
      </w:tr>
      <w:tr>
        <w:trPr>
          <w:trHeight w:hRule="exact" w:val="760"/>
        </w:trPr>
        <w:tc>
          <w:tcPr>
            <w:tcW w:type="dxa" w:w="1632"/>
            <w:vMerge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632"/>
            <w:vMerge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632"/>
            <w:vMerge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  <w:tc>
          <w:tcPr>
            <w:tcW w:type="dxa" w:w="139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6" w:after="0"/>
              <w:ind w:left="9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$20/hr for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volunteers</w:t>
            </w:r>
          </w:p>
        </w:tc>
        <w:tc>
          <w:tcPr>
            <w:tcW w:type="dxa" w:w="1632"/>
            <w:vMerge/>
            <w:tcBorders>
              <w:start w:sz="7.200000000000273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</w:tcPr>
          <w:p/>
        </w:tc>
        <w:tc>
          <w:tcPr>
            <w:tcW w:type="dxa" w:w="1632"/>
            <w:vMerge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</w:tr>
      <w:tr>
        <w:trPr>
          <w:trHeight w:hRule="exact" w:val="1736"/>
        </w:trPr>
        <w:tc>
          <w:tcPr>
            <w:tcW w:type="dxa" w:w="1876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90" w:right="14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Expanding DEI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capacity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(LDEO)</w:t>
            </w:r>
          </w:p>
        </w:tc>
        <w:tc>
          <w:tcPr>
            <w:tcW w:type="dxa" w:w="105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No</w:t>
            </w:r>
          </w:p>
        </w:tc>
        <w:tc>
          <w:tcPr>
            <w:tcW w:type="dxa" w:w="1436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90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Long term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(months)</w:t>
            </w:r>
          </w:p>
        </w:tc>
        <w:tc>
          <w:tcPr>
            <w:tcW w:type="dxa" w:w="1390"/>
            <w:tcBorders>
              <w:start w:sz="7.199999999999818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Full-time or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part-time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salary for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someone to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work with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Kuheli</w:t>
            </w:r>
          </w:p>
        </w:tc>
        <w:tc>
          <w:tcPr>
            <w:tcW w:type="dxa" w:w="1560"/>
            <w:tcBorders>
              <w:start w:sz="7.200000000000273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0" w:after="0"/>
              <w:ind w:left="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Kuheli</w:t>
            </w:r>
          </w:p>
        </w:tc>
        <w:tc>
          <w:tcPr>
            <w:tcW w:type="dxa" w:w="239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4" w:after="0"/>
              <w:ind w:left="8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Determine budget for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 future hire when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hiring freeze is over</w:t>
            </w:r>
          </w:p>
        </w:tc>
      </w:tr>
      <w:tr>
        <w:trPr>
          <w:trHeight w:hRule="exact" w:val="1464"/>
        </w:trPr>
        <w:tc>
          <w:tcPr>
            <w:tcW w:type="dxa" w:w="187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6" w:after="0"/>
              <w:ind w:left="90" w:right="28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Reporting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(LDEO/DEES)</w:t>
            </w:r>
          </w:p>
        </w:tc>
        <w:tc>
          <w:tcPr>
            <w:tcW w:type="dxa" w:w="10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2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No</w:t>
            </w:r>
          </w:p>
        </w:tc>
        <w:tc>
          <w:tcPr>
            <w:tcW w:type="dxa" w:w="143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6" w:after="0"/>
              <w:ind w:left="9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Long term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(months)</w:t>
            </w:r>
          </w:p>
        </w:tc>
        <w:tc>
          <w:tcPr>
            <w:tcW w:type="dxa" w:w="139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6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If need to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hire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EOAA/Title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IX advisor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to craft the </w:t>
            </w:r>
          </w:p>
        </w:tc>
        <w:tc>
          <w:tcPr>
            <w:tcW w:type="dxa" w:w="1560"/>
            <w:tcBorders>
              <w:start w:sz="7.200000000000273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6" w:after="0"/>
              <w:ind w:left="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Kuheli, GSC,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Task Force</w:t>
            </w:r>
          </w:p>
        </w:tc>
        <w:tc>
          <w:tcPr>
            <w:tcW w:type="dxa" w:w="239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6" w:after="0"/>
              <w:ind w:left="86" w:right="42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FF"/>
                <w:sz w:val="22"/>
                <w:u w:val="single"/>
              </w:rPr>
              <w:t>Restart discussion</w:t>
            </w:r>
            <w:r>
              <w:rPr>
                <w:rFonts w:ascii="" w:hAnsi="" w:eastAsia=""/>
                <w:b w:val="0"/>
                <w:i w:val="0"/>
                <w:color w:val="0000FF"/>
                <w:sz w:val="22"/>
              </w:rPr>
              <w:t xml:space="preserve"> </w:t>
            </w:r>
            <w:r>
              <w:rPr>
                <w:rFonts w:ascii="" w:hAnsi="" w:eastAsia=""/>
                <w:b w:val="0"/>
                <w:i w:val="0"/>
                <w:color w:val="0000FF"/>
                <w:sz w:val="22"/>
                <w:u w:val="single"/>
              </w:rPr>
              <w:t>between GSC and</w:t>
            </w:r>
            <w:r>
              <w:rPr>
                <w:rFonts w:ascii="" w:hAnsi="" w:eastAsia=""/>
                <w:b w:val="0"/>
                <w:i w:val="0"/>
                <w:color w:val="0000FF"/>
                <w:sz w:val="22"/>
              </w:rPr>
              <w:t xml:space="preserve"> </w:t>
            </w:r>
            <w:r>
              <w:rPr>
                <w:rFonts w:ascii="" w:hAnsi="" w:eastAsia=""/>
                <w:b w:val="0"/>
                <w:i w:val="0"/>
                <w:color w:val="0000FF"/>
                <w:sz w:val="22"/>
                <w:u w:val="single"/>
              </w:rPr>
              <w:t>Directorate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30" w:right="1374" w:bottom="792" w:left="1074" w:header="720" w:footer="720" w:gutter="0"/>
          <w:cols w:space="720" w:num="1" w:equalWidth="0">
            <w:col w:w="97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625"/>
        <w:gridCol w:w="1625"/>
        <w:gridCol w:w="1625"/>
        <w:gridCol w:w="1625"/>
        <w:gridCol w:w="1625"/>
        <w:gridCol w:w="1625"/>
      </w:tblGrid>
      <w:tr>
        <w:trPr>
          <w:trHeight w:hRule="exact" w:val="726"/>
        </w:trPr>
        <w:tc>
          <w:tcPr>
            <w:tcW w:type="dxa" w:w="1876"/>
            <w:tcBorders>
              <w:start w:sz="7.199999999999989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36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90"/>
            <w:tcBorders>
              <w:start w:sz="7.199999999999818" w:val="single" w:color="#000000"/>
              <w:top w:sz="7.2000000000000455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4" w:after="0"/>
              <w:ind w:left="0" w:right="288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reporting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structure</w:t>
            </w:r>
          </w:p>
        </w:tc>
        <w:tc>
          <w:tcPr>
            <w:tcW w:type="dxa" w:w="1560"/>
            <w:tcBorders>
              <w:start w:sz="7.200000000000273" w:val="single" w:color="#000000"/>
              <w:top w:sz="7.2000000000000455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2"/>
            <w:tcBorders>
              <w:start w:sz="7.200000000000273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6"/>
        </w:trPr>
        <w:tc>
          <w:tcPr>
            <w:tcW w:type="dxa" w:w="1876"/>
            <w:tcBorders>
              <w:start w:sz="7.199999999999989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Advertisement,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Active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Recruitment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(LDEO/DEES)</w:t>
            </w:r>
          </w:p>
        </w:tc>
        <w:tc>
          <w:tcPr>
            <w:tcW w:type="dxa" w:w="105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6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No</w:t>
            </w:r>
          </w:p>
        </w:tc>
        <w:tc>
          <w:tcPr>
            <w:tcW w:type="dxa" w:w="143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0" w:after="0"/>
              <w:ind w:left="9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Long term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(months)</w:t>
            </w:r>
          </w:p>
        </w:tc>
        <w:tc>
          <w:tcPr>
            <w:tcW w:type="dxa" w:w="139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6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1154CC"/>
                <w:sz w:val="22"/>
                <w:u w:val="single"/>
              </w:rPr>
              <w:t>$15,000/yr</w:t>
            </w:r>
          </w:p>
        </w:tc>
        <w:tc>
          <w:tcPr>
            <w:tcW w:type="dxa" w:w="1560"/>
            <w:tcBorders>
              <w:start w:sz="7.200000000000273" w:val="single" w:color="#000000"/>
              <w:top w:sz="8.0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0" w:after="0"/>
              <w:ind w:left="92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Task Force,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HR, Kuheli</w:t>
            </w:r>
          </w:p>
        </w:tc>
        <w:tc>
          <w:tcPr>
            <w:tcW w:type="dxa" w:w="239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0" w:after="0"/>
              <w:ind w:left="8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Give actionable list to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HR &amp; Kuheli</w:t>
            </w:r>
          </w:p>
        </w:tc>
      </w:tr>
      <w:tr>
        <w:trPr>
          <w:trHeight w:hRule="exact" w:val="1992"/>
        </w:trPr>
        <w:tc>
          <w:tcPr>
            <w:tcW w:type="dxa" w:w="1876"/>
            <w:tcBorders>
              <w:start w:sz="7.199999999999989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DEES Program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Changes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(DEES)</w:t>
            </w:r>
          </w:p>
        </w:tc>
        <w:tc>
          <w:tcPr>
            <w:tcW w:type="dxa" w:w="105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No</w:t>
            </w:r>
          </w:p>
        </w:tc>
        <w:tc>
          <w:tcPr>
            <w:tcW w:type="dxa" w:w="1436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90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Short term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(weeks -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month)</w:t>
            </w:r>
          </w:p>
        </w:tc>
        <w:tc>
          <w:tcPr>
            <w:tcW w:type="dxa" w:w="1390"/>
            <w:tcBorders>
              <w:start w:sz="7.199999999999818" w:val="single" w:color="#000000"/>
              <w:top w:sz="7.2000000000000455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9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If external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seminar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instructors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must be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hired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through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DEES</w:t>
            </w:r>
          </w:p>
        </w:tc>
        <w:tc>
          <w:tcPr>
            <w:tcW w:type="dxa" w:w="1560"/>
            <w:tcBorders>
              <w:start w:sz="7.200000000000273" w:val="single" w:color="#000000"/>
              <w:top w:sz="7.2000000000000455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8" w:after="0"/>
              <w:ind w:left="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Task Force</w:t>
            </w:r>
          </w:p>
        </w:tc>
        <w:tc>
          <w:tcPr>
            <w:tcW w:type="dxa" w:w="2392"/>
            <w:tcBorders>
              <w:start w:sz="7.200000000000273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0" w:after="0"/>
              <w:ind w:left="8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Remove GRE and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GSAS application fee;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Creation of new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race/environmental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justice seminar</w:t>
            </w:r>
          </w:p>
        </w:tc>
      </w:tr>
      <w:tr>
        <w:trPr>
          <w:trHeight w:hRule="exact" w:val="1484"/>
        </w:trPr>
        <w:tc>
          <w:tcPr>
            <w:tcW w:type="dxa" w:w="1876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90" w:right="576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Mandatory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Trainings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(LDEO)</w:t>
            </w:r>
          </w:p>
        </w:tc>
        <w:tc>
          <w:tcPr>
            <w:tcW w:type="dxa" w:w="105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0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No</w:t>
            </w:r>
          </w:p>
        </w:tc>
        <w:tc>
          <w:tcPr>
            <w:tcW w:type="dxa" w:w="1436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Immediately</w:t>
            </w:r>
          </w:p>
        </w:tc>
        <w:tc>
          <w:tcPr>
            <w:tcW w:type="dxa" w:w="1390"/>
            <w:tcBorders>
              <w:start w:sz="7.199999999999818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2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Only if need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to hire an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external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training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company</w:t>
            </w:r>
          </w:p>
        </w:tc>
        <w:tc>
          <w:tcPr>
            <w:tcW w:type="dxa" w:w="1560"/>
            <w:tcBorders>
              <w:start w:sz="7.200000000000273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0" w:after="0"/>
              <w:ind w:left="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Task Force</w:t>
            </w:r>
          </w:p>
        </w:tc>
        <w:tc>
          <w:tcPr>
            <w:tcW w:type="dxa" w:w="2392"/>
            <w:tcBorders>
              <w:start w:sz="7.200000000000273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2" w:after="0"/>
              <w:ind w:left="8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Talking to University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Life about </w:t>
            </w:r>
            <w:r>
              <w:rPr>
                <w:rFonts w:ascii="" w:hAnsi="" w:eastAsia=""/>
                <w:b w:val="0"/>
                <w:i w:val="0"/>
                <w:color w:val="1154CC"/>
                <w:sz w:val="22"/>
                <w:u w:val="single"/>
              </w:rPr>
              <w:t>currently</w:t>
            </w:r>
            <w:r>
              <w:rPr>
                <w:rFonts w:ascii="" w:hAnsi="" w:eastAsia=""/>
                <w:b w:val="0"/>
                <w:i w:val="0"/>
                <w:color w:val="1154CC"/>
                <w:sz w:val="22"/>
              </w:rPr>
              <w:t xml:space="preserve">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1154CC"/>
                <w:sz w:val="22"/>
                <w:u w:val="single"/>
              </w:rPr>
              <w:t>available trainings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and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customizing to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Lamont community</w:t>
            </w:r>
          </w:p>
        </w:tc>
      </w:tr>
      <w:tr>
        <w:trPr>
          <w:trHeight w:hRule="exact" w:val="1488"/>
        </w:trPr>
        <w:tc>
          <w:tcPr>
            <w:tcW w:type="dxa" w:w="187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0" w:after="0"/>
              <w:ind w:left="90" w:right="14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Lamont Hiring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Committee </w:t>
            </w:r>
            <w:r>
              <w:br/>
            </w:r>
            <w:r>
              <w:rPr>
                <w:rFonts w:ascii="" w:hAnsi="" w:eastAsia=""/>
                <w:b/>
                <w:i/>
                <w:color w:val="000000"/>
                <w:sz w:val="22"/>
              </w:rPr>
              <w:t>(</w:t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LDEO)</w:t>
            </w:r>
          </w:p>
        </w:tc>
        <w:tc>
          <w:tcPr>
            <w:tcW w:type="dxa" w:w="10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Yes</w:t>
            </w:r>
          </w:p>
        </w:tc>
        <w:tc>
          <w:tcPr>
            <w:tcW w:type="dxa" w:w="143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0" w:after="0"/>
              <w:ind w:left="90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Long term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(months)</w:t>
            </w:r>
          </w:p>
        </w:tc>
        <w:tc>
          <w:tcPr>
            <w:tcW w:type="dxa" w:w="139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560"/>
            <w:tcBorders>
              <w:start w:sz="7.200000000000273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8" w:after="0"/>
              <w:ind w:left="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Task Force</w:t>
            </w:r>
          </w:p>
        </w:tc>
        <w:tc>
          <w:tcPr>
            <w:tcW w:type="dxa" w:w="239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8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Create an LRP Hiring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Committee focused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on URM candidates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and inclusion; Include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student on committee</w:t>
            </w:r>
          </w:p>
        </w:tc>
      </w:tr>
      <w:tr>
        <w:trPr>
          <w:trHeight w:hRule="exact" w:val="2242"/>
        </w:trPr>
        <w:tc>
          <w:tcPr>
            <w:tcW w:type="dxa" w:w="187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90" w:right="72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Seminar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Diversity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Initiative </w:t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(LDEO)</w:t>
            </w:r>
          </w:p>
        </w:tc>
        <w:tc>
          <w:tcPr>
            <w:tcW w:type="dxa" w:w="10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Yes</w:t>
            </w:r>
          </w:p>
        </w:tc>
        <w:tc>
          <w:tcPr>
            <w:tcW w:type="dxa" w:w="143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4" w:after="0"/>
              <w:ind w:left="90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Long term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(months)</w:t>
            </w:r>
          </w:p>
        </w:tc>
        <w:tc>
          <w:tcPr>
            <w:tcW w:type="dxa" w:w="139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$10,000/yr</w:t>
            </w:r>
          </w:p>
        </w:tc>
        <w:tc>
          <w:tcPr>
            <w:tcW w:type="dxa" w:w="1560"/>
            <w:tcBorders>
              <w:start w:sz="7.200000000000273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4" w:after="0"/>
              <w:ind w:left="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Kailani, Task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Force </w:t>
            </w:r>
          </w:p>
        </w:tc>
        <w:tc>
          <w:tcPr>
            <w:tcW w:type="dxa" w:w="239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8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Remove non-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budgetary speaker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justification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requirement;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Get </w:t>
            </w:r>
            <w:r>
              <w:rPr>
                <w:rFonts w:ascii="" w:hAnsi="" w:eastAsia=""/>
                <w:b w:val="0"/>
                <w:i w:val="0"/>
                <w:color w:val="1154CC"/>
                <w:sz w:val="22"/>
                <w:u w:val="single"/>
              </w:rPr>
              <w:t>seminar diversity</w:t>
            </w:r>
            <w:r>
              <w:rPr>
                <w:rFonts w:ascii="" w:hAnsi="" w:eastAsia="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" w:hAnsi="" w:eastAsia=""/>
                <w:b w:val="0"/>
                <w:i w:val="0"/>
                <w:color w:val="1154CC"/>
                <w:sz w:val="22"/>
                <w:u w:val="single"/>
              </w:rPr>
              <w:t xml:space="preserve">website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hosted under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LDEO, broader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impacts</w:t>
            </w:r>
          </w:p>
        </w:tc>
      </w:tr>
      <w:tr>
        <w:trPr>
          <w:trHeight w:hRule="exact" w:val="2226"/>
        </w:trPr>
        <w:tc>
          <w:tcPr>
            <w:tcW w:type="dxa" w:w="1876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90" w:right="862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Website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changes </w:t>
            </w:r>
            <w:r>
              <w:br/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(LDEO)</w:t>
            </w:r>
          </w:p>
        </w:tc>
        <w:tc>
          <w:tcPr>
            <w:tcW w:type="dxa" w:w="105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6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Yes</w:t>
            </w:r>
          </w:p>
        </w:tc>
        <w:tc>
          <w:tcPr>
            <w:tcW w:type="dxa" w:w="143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6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Immediate</w:t>
            </w:r>
          </w:p>
        </w:tc>
        <w:tc>
          <w:tcPr>
            <w:tcW w:type="dxa" w:w="139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0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This might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fall under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(expanding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DEI funds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of a new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position)</w:t>
            </w:r>
          </w:p>
        </w:tc>
        <w:tc>
          <w:tcPr>
            <w:tcW w:type="dxa" w:w="1560"/>
            <w:tcBorders>
              <w:start w:sz="7.200000000000273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92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Directorate,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Kuheli, Task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Force</w:t>
            </w:r>
          </w:p>
        </w:tc>
        <w:tc>
          <w:tcPr>
            <w:tcW w:type="dxa" w:w="2392"/>
            <w:tcBorders>
              <w:start w:sz="7.200000000000273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86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Finalize public anti-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racism statement;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Talk to IT about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creating separate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page for Task Force;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indigenous land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statement - increase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accessibility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6" w:right="1418" w:bottom="1342" w:left="1074" w:header="720" w:footer="720" w:gutter="0"/>
      <w:cols w:space="720" w:num="1" w:equalWidth="0">
        <w:col w:w="9748" w:space="0"/>
        <w:col w:w="97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