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whom it may concern: </w:t>
      </w:r>
    </w:p>
    <w:p>
      <w:pPr>
        <w:autoSpaceDN w:val="0"/>
        <w:autoSpaceDE w:val="0"/>
        <w:widowControl/>
        <w:spacing w:line="278" w:lineRule="auto" w:before="35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Black Lives Matter movement has shed necessary light on racial inequalities and injustices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have been ongoing for years towards Black, Indigenous, People of Color (BIPOC)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Non-Black People of Color (NBPOC). There is a lot to be done to change the systematic racism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is present within not only academia, but also within our department. We hope to have your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help and support in doing so. The silence that we have heard from the department so far has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been immensely disappointing for the students, but we hope that you are willing to learn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change just as we are, so that we can build a stronger, more inclusive and uplifting community. </w:t>
      </w:r>
    </w:p>
    <w:p>
      <w:pPr>
        <w:autoSpaceDN w:val="0"/>
        <w:autoSpaceDE w:val="0"/>
        <w:widowControl/>
        <w:spacing w:line="264" w:lineRule="auto" w:before="35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Our department must do better to address the racial biases that we have and address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privilege that many of us have as a predominantly White department. Geoscience is one of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least diverse STEM fields at all levels and that has not improved in the past 40 years (e.g.,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Bernard and Cooperdock,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). We hope that our department can be an example of how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White-dominated department is changing to amplify the voices of the oppressed in academia,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that begins with ending our silence. We need to be better allies, we need to better educate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ourselves on race, we need to actively change the way that we approach our recruitment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process, and that is just a start. In this email, we want to highlight general tips for being more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inclusive and better allies, as well as provide tangible examples of what we can do as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department, both now and in the coming years, to ensure that the dialogue that begins today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becomes an integral part of how our department operates. </w:t>
      </w:r>
    </w:p>
    <w:p>
      <w:pPr>
        <w:autoSpaceDN w:val="0"/>
        <w:autoSpaceDE w:val="0"/>
        <w:widowControl/>
        <w:spacing w:line="281" w:lineRule="auto" w:before="354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Departmental numbers on the admittance rate for the Earth, Atmospheric, and Planetary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Sciences (EAPS) were unavailable via Purdue Data Digest (they have been contacted to get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access to these numbers), but looking at the College of Science numbers will give a general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idea of the admittance rate for different races/ethnicities. Within the various STEM fields, those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encompassed under EAPS are even more White-dominated, so keep that in mind.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difference between White and Black students applying differs by an order of magnitude. Besides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numbers, the number of Black students in the overall student body in the College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Science has been 2% for the last 5 years. A primary reason for this lack of Black student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representation is not a lack of interest but rather the systematic racism present in our fields. 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department, we must acknowledge this and, more importantly, change our current recruitment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practices in order to be more welcoming to BIPOC and NBPOC. </w:t>
      </w:r>
    </w:p>
    <w:p>
      <w:pPr>
        <w:autoSpaceDN w:val="0"/>
        <w:autoSpaceDE w:val="0"/>
        <w:widowControl/>
        <w:spacing w:line="233" w:lineRule="auto" w:before="354" w:after="44"/>
        <w:ind w:left="1440" w:right="0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College of Science student applicants vs. acceptance numbers for Fall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884"/>
        </w:trPr>
        <w:tc>
          <w:tcPr>
            <w:tcW w:type="dxa" w:w="3464"/>
            <w:tcBorders>
              <w:start w:sz="6.399999999999977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Race/Ethnicity </w:t>
            </w:r>
          </w:p>
        </w:tc>
        <w:tc>
          <w:tcPr>
            <w:tcW w:type="dxa" w:w="123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# Applied </w:t>
            </w:r>
          </w:p>
        </w:tc>
        <w:tc>
          <w:tcPr>
            <w:tcW w:type="dxa" w:w="16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Percentage of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total applicants </w:t>
            </w:r>
          </w:p>
        </w:tc>
        <w:tc>
          <w:tcPr>
            <w:tcW w:type="dxa" w:w="12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# Admitted </w:t>
            </w:r>
          </w:p>
        </w:tc>
        <w:tc>
          <w:tcPr>
            <w:tcW w:type="dxa" w:w="1696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" w:after="0"/>
              <w:ind w:left="16" w:right="15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Percentage of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total admitted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students </w:t>
            </w:r>
          </w:p>
        </w:tc>
      </w:tr>
      <w:tr>
        <w:trPr>
          <w:trHeight w:hRule="exact" w:val="346"/>
        </w:trPr>
        <w:tc>
          <w:tcPr>
            <w:tcW w:type="dxa" w:w="3464"/>
            <w:tcBorders>
              <w:start w:sz="6.399999999999977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White </w:t>
            </w:r>
          </w:p>
        </w:tc>
        <w:tc>
          <w:tcPr>
            <w:tcW w:type="dxa" w:w="123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3734 </w:t>
            </w:r>
          </w:p>
        </w:tc>
        <w:tc>
          <w:tcPr>
            <w:tcW w:type="dxa" w:w="16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26.60% </w:t>
            </w:r>
          </w:p>
        </w:tc>
        <w:tc>
          <w:tcPr>
            <w:tcW w:type="dxa" w:w="12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2547 </w:t>
            </w:r>
          </w:p>
        </w:tc>
        <w:tc>
          <w:tcPr>
            <w:tcW w:type="dxa" w:w="1696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37.50% </w:t>
            </w:r>
          </w:p>
        </w:tc>
      </w:tr>
      <w:tr>
        <w:trPr>
          <w:trHeight w:hRule="exact" w:val="344"/>
        </w:trPr>
        <w:tc>
          <w:tcPr>
            <w:tcW w:type="dxa" w:w="3464"/>
            <w:tcBorders>
              <w:start w:sz="6.399999999999977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Black </w:t>
            </w:r>
          </w:p>
        </w:tc>
        <w:tc>
          <w:tcPr>
            <w:tcW w:type="dxa" w:w="123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6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2.09% </w:t>
            </w:r>
          </w:p>
        </w:tc>
        <w:tc>
          <w:tcPr>
            <w:tcW w:type="dxa" w:w="12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696"/>
            <w:tcBorders>
              <w:start w:sz="6.400000000000091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1.86% </w:t>
            </w:r>
          </w:p>
        </w:tc>
      </w:tr>
      <w:tr>
        <w:trPr>
          <w:trHeight w:hRule="exact" w:val="346"/>
        </w:trPr>
        <w:tc>
          <w:tcPr>
            <w:tcW w:type="dxa" w:w="3464"/>
            <w:tcBorders>
              <w:start w:sz="6.399999999999977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Latinx </w:t>
            </w:r>
          </w:p>
        </w:tc>
        <w:tc>
          <w:tcPr>
            <w:tcW w:type="dxa" w:w="123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533 </w:t>
            </w:r>
          </w:p>
        </w:tc>
        <w:tc>
          <w:tcPr>
            <w:tcW w:type="dxa" w:w="16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3.80% </w:t>
            </w:r>
          </w:p>
        </w:tc>
        <w:tc>
          <w:tcPr>
            <w:tcW w:type="dxa" w:w="12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289 </w:t>
            </w:r>
          </w:p>
        </w:tc>
        <w:tc>
          <w:tcPr>
            <w:tcW w:type="dxa" w:w="1696"/>
            <w:tcBorders>
              <w:start w:sz="6.400000000000091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4.26% </w:t>
            </w:r>
          </w:p>
        </w:tc>
      </w:tr>
      <w:tr>
        <w:trPr>
          <w:trHeight w:hRule="exact" w:val="324"/>
        </w:trPr>
        <w:tc>
          <w:tcPr>
            <w:tcW w:type="dxa" w:w="3464"/>
            <w:tcBorders>
              <w:start w:sz="6.399999999999977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American Indian or Alaska Native </w:t>
            </w:r>
          </w:p>
        </w:tc>
        <w:tc>
          <w:tcPr>
            <w:tcW w:type="dxa" w:w="123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0.05% </w:t>
            </w:r>
          </w:p>
        </w:tc>
        <w:tc>
          <w:tcPr>
            <w:tcW w:type="dxa" w:w="12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696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0.01%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72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344"/>
        </w:trPr>
        <w:tc>
          <w:tcPr>
            <w:tcW w:type="dxa" w:w="346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Asian </w:t>
            </w:r>
          </w:p>
        </w:tc>
        <w:tc>
          <w:tcPr>
            <w:tcW w:type="dxa" w:w="1230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2466 </w:t>
            </w:r>
          </w:p>
        </w:tc>
        <w:tc>
          <w:tcPr>
            <w:tcW w:type="dxa" w:w="1680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17.57% </w:t>
            </w:r>
          </w:p>
        </w:tc>
        <w:tc>
          <w:tcPr>
            <w:tcW w:type="dxa" w:w="1230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1562 </w:t>
            </w:r>
          </w:p>
        </w:tc>
        <w:tc>
          <w:tcPr>
            <w:tcW w:type="dxa" w:w="169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23.00% </w:t>
            </w:r>
          </w:p>
        </w:tc>
      </w:tr>
      <w:tr>
        <w:trPr>
          <w:trHeight w:hRule="exact" w:val="344"/>
        </w:trPr>
        <w:tc>
          <w:tcPr>
            <w:tcW w:type="dxa" w:w="346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International </w:t>
            </w:r>
          </w:p>
        </w:tc>
        <w:tc>
          <w:tcPr>
            <w:tcW w:type="dxa" w:w="1230"/>
            <w:tcBorders>
              <w:start w:sz="6.400000000000091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6421 </w:t>
            </w:r>
          </w:p>
        </w:tc>
        <w:tc>
          <w:tcPr>
            <w:tcW w:type="dxa" w:w="1680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45.75% </w:t>
            </w:r>
          </w:p>
        </w:tc>
        <w:tc>
          <w:tcPr>
            <w:tcW w:type="dxa" w:w="1230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1886 </w:t>
            </w:r>
          </w:p>
        </w:tc>
        <w:tc>
          <w:tcPr>
            <w:tcW w:type="dxa" w:w="169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27.77% </w:t>
            </w:r>
          </w:p>
        </w:tc>
      </w:tr>
      <w:tr>
        <w:trPr>
          <w:trHeight w:hRule="exact" w:val="616"/>
        </w:trPr>
        <w:tc>
          <w:tcPr>
            <w:tcW w:type="dxa" w:w="3464"/>
            <w:tcBorders>
              <w:start w:sz="6.399999999999977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Native Hawaiian or Other Pacific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Islander </w:t>
            </w:r>
          </w:p>
        </w:tc>
        <w:tc>
          <w:tcPr>
            <w:tcW w:type="dxa" w:w="1230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80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0.02% </w:t>
            </w:r>
          </w:p>
        </w:tc>
        <w:tc>
          <w:tcPr>
            <w:tcW w:type="dxa" w:w="1230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696"/>
            <w:tcBorders>
              <w:start w:sz="6.400000000000091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0.03% </w:t>
            </w:r>
          </w:p>
        </w:tc>
      </w:tr>
      <w:tr>
        <w:trPr>
          <w:trHeight w:hRule="exact" w:val="344"/>
        </w:trPr>
        <w:tc>
          <w:tcPr>
            <w:tcW w:type="dxa" w:w="3464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 or more races </w:t>
            </w:r>
          </w:p>
        </w:tc>
        <w:tc>
          <w:tcPr>
            <w:tcW w:type="dxa" w:w="123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316 </w:t>
            </w:r>
          </w:p>
        </w:tc>
        <w:tc>
          <w:tcPr>
            <w:tcW w:type="dxa" w:w="16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2.25% </w:t>
            </w:r>
          </w:p>
        </w:tc>
        <w:tc>
          <w:tcPr>
            <w:tcW w:type="dxa" w:w="12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214 </w:t>
            </w:r>
          </w:p>
        </w:tc>
        <w:tc>
          <w:tcPr>
            <w:tcW w:type="dxa" w:w="169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3.15% </w:t>
            </w:r>
          </w:p>
        </w:tc>
      </w:tr>
      <w:tr>
        <w:trPr>
          <w:trHeight w:hRule="exact" w:val="348"/>
        </w:trPr>
        <w:tc>
          <w:tcPr>
            <w:tcW w:type="dxa" w:w="3464"/>
            <w:tcBorders>
              <w:start w:sz="6.399999999999977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Unknown </w:t>
            </w:r>
          </w:p>
        </w:tc>
        <w:tc>
          <w:tcPr>
            <w:tcW w:type="dxa" w:w="123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262 </w:t>
            </w:r>
          </w:p>
        </w:tc>
        <w:tc>
          <w:tcPr>
            <w:tcW w:type="dxa" w:w="16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1.87% </w:t>
            </w:r>
          </w:p>
        </w:tc>
        <w:tc>
          <w:tcPr>
            <w:tcW w:type="dxa" w:w="12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165 </w:t>
            </w:r>
          </w:p>
        </w:tc>
        <w:tc>
          <w:tcPr>
            <w:tcW w:type="dxa" w:w="1696"/>
            <w:tcBorders>
              <w:start w:sz="6.400000000000091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2.43% </w:t>
            </w:r>
          </w:p>
        </w:tc>
      </w:tr>
    </w:tbl>
    <w:p>
      <w:pPr>
        <w:autoSpaceDN w:val="0"/>
        <w:autoSpaceDE w:val="0"/>
        <w:widowControl/>
        <w:spacing w:line="250" w:lineRule="auto" w:before="308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EAPS Strategic Plan 2015-2019, Goal 4a is to increase diversity and lists some strategies </w:t>
      </w:r>
      <w:r>
        <w:rPr>
          <w:rFonts w:ascii="Arial" w:hAnsi="Arial" w:eastAsia="Arial"/>
          <w:b w:val="0"/>
          <w:i w:val="0"/>
          <w:color w:val="000000"/>
          <w:sz w:val="22"/>
        </w:rPr>
        <w:t>to do so (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https://www.eaps.purdue.edu/docs/pdfs/2015-2019_EAPS_strategic_plan.pdf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However, our enrollment numbers suggest that the strategies listed are not being fully put into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action or are minimally effective. The Strategic Plan also lists specific metrics for assessing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progress on the departmental level; however, such metrics have not been published,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disseminated, or discussed by the department as a whole. </w:t>
      </w:r>
    </w:p>
    <w:p>
      <w:pPr>
        <w:autoSpaceDN w:val="0"/>
        <w:autoSpaceDE w:val="0"/>
        <w:widowControl/>
        <w:spacing w:line="276" w:lineRule="auto" w:before="354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Because we want this letter to focus on solutions rather than the current state of affairs,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present two lists of department-specific, as well as general actions, that we feel are a good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starting point. These suggestions are sourced from national surveys and documentation, as well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the lived experience of BIPOC and other underrepresented groups. First, here are some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specific actions the department can take to address these concerns both in the short-term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longer-term to establish a better, safer community: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Regular climate surveys and exit interviews.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We need to establish a clear baseline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tracking undergraduate and graduate student experience in our department. There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currently no clear indicator of student experience, nor are there available demographic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records. The department should be regularly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/>
          <w:i w:val="0"/>
          <w:color w:val="000000"/>
          <w:sz w:val="22"/>
        </w:rPr>
        <w:t>collecting and publishing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both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qualitative and quantitative information about student quality of life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identify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issues experienced by BIPOC students. If we don’t identify our baseline and get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information on student experience, then we cannot respond appropriately. Exit interviews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also be conducted, not just for students who graduate with their Master’s/PhD,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but those who leave without completing their degrees (as underrepresented students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tend to be more likely to leave without completing their degrees due to their experiences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harassment) to best characterize student experience. </w:t>
      </w:r>
    </w:p>
    <w:p>
      <w:pPr>
        <w:autoSpaceDN w:val="0"/>
        <w:tabs>
          <w:tab w:pos="2160" w:val="left"/>
        </w:tabs>
        <w:autoSpaceDE w:val="0"/>
        <w:widowControl/>
        <w:spacing w:line="250" w:lineRule="auto" w:before="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Anonymous climate feedback form.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move from passive to active action,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needs to be able to collect information on people’s experience of bias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harassment and take action on it. One potential option for doing this is an anonymous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reporting system, whose reports would be addressed by a standing body (see below).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itself is not a grievance solution mechanism, but it will increase awareness of where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specific issues arise in the department.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Establishment of a permanent standing body dedicated to advancing and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addressing issues of bias, disciminition, and departmental welfare.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While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Diversity Committee exists in the department, its activities are not publicized and its role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authority are unclear. Increasing the visibility of this committee,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opening more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3130" w:after="0"/>
        <w:ind w:left="216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seats to graduate students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hosting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/>
          <w:i w:val="0"/>
          <w:color w:val="000000"/>
          <w:sz w:val="22"/>
        </w:rPr>
        <w:t>regular open meetings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forums so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department as a whole can engage with the committee would be a good start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towards giving this committee more power to improve the experience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underrepresented folks in the department, both now and in the future.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Publicly posted flowcharts with community resources.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Right now, there are no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publicly listed resources for what to do if someone in the department is experiencing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harassment. This is something that was discussed in a previous EAPS GSA meeting,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a draft is attached separately. Having these flowchats for folks experiencing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discrimination that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lists their options for addressing and resolving their issues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with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departmental and/or university support is critical to allowing people’s complaints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actually be heard. </w:t>
      </w:r>
    </w:p>
    <w:p>
      <w:pPr>
        <w:autoSpaceDN w:val="0"/>
        <w:tabs>
          <w:tab w:pos="2160" w:val="left"/>
        </w:tabs>
        <w:autoSpaceDE w:val="0"/>
        <w:widowControl/>
        <w:spacing w:line="250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Gender-neutral bathrooms.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Black trans folks are often overlooked in discussions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Black struggles in academia. Our department can do better for Black trans folks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trans folks in general by establishing gender-neutral bathrooms within our section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building. The current two gender-neutral bathrooms are extremely far away from all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sections of our department and represent an extra burden on anyone who wishes to use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them. 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Implementing a departmental code of conduct.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While our department has several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guidelines for growth and success, including the strategic plan and the Individual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Development Plan (IDP) forms, we consider a code of conduct similar to those adopted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by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the American Geophysical Union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the American Astronomical Society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to be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critical step to ensuring that our agreed-upon guidelines for inclusive community-focused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behavior are understood and consequences for violation are outlined. The presence of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clear and specific code of conduct, signed by the faculty, staff, and students in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department, will enable better reporting. Critically, a code of conduct should define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language for consequences and enforcement. Modeling our code of conduct off of those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already existing in the community is a good place to start.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Have BIPOC and NBPOC speakers for colloquium.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Representation and support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important. Inviting BIPOC and NBPOC colloquium speakers, particularly those who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early in their career, is one small way to show that our department knows that their work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their science matters. This could easily be implemented this Fall when our lineup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entirely remote, thus eliminating any transportation issues. Additionally, the department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consider implementing annual or semesterly colloquia dedicated to discussion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Equity, Diversity, and Inclusion issues (i.e., bystander training). </w:t>
      </w:r>
    </w:p>
    <w:p>
      <w:pPr>
        <w:autoSpaceDN w:val="0"/>
        <w:autoSpaceDE w:val="0"/>
        <w:widowControl/>
        <w:spacing w:line="245" w:lineRule="auto" w:before="354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Second, here are some general tips for how we can be better allies inside and outside of 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(Taken from </w:t>
      </w:r>
      <w:r>
        <w:br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https://astrobites.org/2020/06/03/how-can-we-support-black-astronomers/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Listen to Black people and amplify their voices.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Work to understand what 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people are telling you, and work to listen without getting defensive. This can be difficult,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particularly because as [scientists] we’re often trained to defend our scientific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results—but it’s important to listen, and to reflect on and learn from our mistakes.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89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34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Check in with Black colleagues, friends, and students.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This is a time of immense </w:t>
            </w:r>
          </w:p>
        </w:tc>
      </w:tr>
    </w:tbl>
    <w:p>
      <w:pPr>
        <w:autoSpaceDN w:val="0"/>
        <w:autoSpaceDE w:val="0"/>
        <w:widowControl/>
        <w:spacing w:line="259" w:lineRule="auto" w:before="26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grief, pain and trauma for Black folks. Check in with the Black folks in your professional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personal circles; share your support and offer to do anything you can.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Talk to non-Black people about what’s happening.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burden to address issues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racism and anti-Blackness often falls on Black folks, which is labor-intensive and can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traumatic. Non-Black people have a responsibility to start these conversations.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Advocate and don’t gatekeep.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Direct effort into advocating for Black students and folks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field, both by supporting institutional efforts to improve equity and by stepping up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individual Black colleagues. On the flip side, do not engage in gatekeeping behaviors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that make the field more exclusionary, such as those that continue to occur in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introductory STEM courses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graduate admissions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Educate ourselves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Don’t expect Black people to do the additional work of educating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everyone else. Take time to read about the history of the oppression of Black people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ways anti-Blackness manifests today. Focus on writings by Black folks. In 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academic setting, one way to do this is to start an equity-focused journal club. If this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newer to you, this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glossary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good place to start. A list of further suggested reading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at the bottom of this post.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Support #BlackInSTEM efforts.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Signal-boost Black students and researchers in STEM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share their work. This is critical both for supporting these individuals and for showing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others that Black folks can succeed in the field; representation matters. For one great list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of Black junior astronomers, check out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7" w:history="1">
          <w:r>
            <w:rPr>
              <w:rStyle w:val="Hyperlink"/>
            </w:rPr>
            <w:t>this Twitter list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compiled by Ashley Walker.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Speak up and push leadership to speak up.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should expect leaders in our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spaces—department chairs, PIs, project/telescope/survey directors—to speak up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express support for Black folks under their leadership. Silence plays into the myth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our workplaces and identities can be separated.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Don’t expect productivity.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During this time, all of us should be focusing our energy 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supporting Black colleagues and anti-racism efforts. Black folks especially are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processing, grieving, and fighting. Expecting academic productivity in these times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crisis ignores the experiences and needs of Black people.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Don’t take up space.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During times of crisis for Black folks, focusing on unrelated issues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can seem minimizing. This is especially true for academic-related matters which 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folks may not have time and energy for right now.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45" w:lineRule="auto" w:before="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10.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Donate.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Many of us are in the privileged position of still receiving paychecks during this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pandemic. Donate to Black justice organizations and to organizations that promote 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folks in STEM. Here are some suggestions: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Comprehensive list for donations: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https://blacklivesmatters.carrd.co/#donate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Bail funds across cities: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https://www.communityjusticeexchange.org/nbfn-directory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#IAm project: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https://www.iamstemproject.org/</w:t>
          </w:r>
        </w:hyperlink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Black Girls Code: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1" w:history="1">
          <w:r>
            <w:rPr>
              <w:rStyle w:val="Hyperlink"/>
            </w:rPr>
            <w:t>https://www.blackgirlscode.com/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Donate directly to Black students!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2" w:history="1">
          <w:r>
            <w:rPr>
              <w:rStyle w:val="Hyperlink"/>
            </w:rPr>
            <w:t>Here’s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 list on Twitter, compiled by Dr. Nicole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Cabrera Salazar.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64810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3" w:history="1">
          <w:r>
            <w:rPr>
              <w:rStyle w:val="Hyperlink"/>
            </w:rPr>
            <w:t xml:space="preserve">Google document 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has been put together by one of the graduate students in the department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provide resources that can be utilized to educate ourselves on how to be better allies that can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shared with anyone interested to learn. </w:t>
      </w:r>
    </w:p>
    <w:p>
      <w:pPr>
        <w:autoSpaceDN w:val="0"/>
        <w:autoSpaceDE w:val="0"/>
        <w:widowControl/>
        <w:spacing w:line="250" w:lineRule="auto" w:before="294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212121"/>
          <w:sz w:val="22"/>
        </w:rPr>
        <w:t xml:space="preserve">We know that the change will take an adjustment and some time, but there is a need for </w:t>
      </w:r>
      <w:r>
        <w:rPr>
          <w:rFonts w:ascii="Arial" w:hAnsi="Arial" w:eastAsia="Arial"/>
          <w:b w:val="0"/>
          <w:i w:val="0"/>
          <w:color w:val="212121"/>
          <w:sz w:val="22"/>
        </w:rPr>
        <w:t xml:space="preserve">change. We hope that you will stand up with us and be advocates for eliminating the systemic </w:t>
      </w:r>
      <w:r>
        <w:rPr>
          <w:rFonts w:ascii="Arial" w:hAnsi="Arial" w:eastAsia="Arial"/>
          <w:b w:val="0"/>
          <w:i w:val="0"/>
          <w:color w:val="212121"/>
          <w:sz w:val="22"/>
        </w:rPr>
        <w:t xml:space="preserve">racism present within our fields and in our department. As a first step, we would like to invite </w:t>
      </w:r>
      <w:r>
        <w:rPr>
          <w:rFonts w:ascii="Arial" w:hAnsi="Arial" w:eastAsia="Arial"/>
          <w:b w:val="0"/>
          <w:i w:val="0"/>
          <w:color w:val="212121"/>
          <w:sz w:val="22"/>
        </w:rPr>
        <w:t xml:space="preserve">everyone (faculty, students, and staff) to an 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Arial" w:hAnsi="Arial" w:eastAsia="Arial"/>
          <w:b/>
          <w:i w:val="0"/>
          <w:color w:val="212121"/>
          <w:sz w:val="22"/>
        </w:rPr>
        <w:t>open forum WebEx meeting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212121"/>
          <w:sz w:val="22"/>
        </w:rPr>
        <w:t xml:space="preserve"> (to be scheduled in a </w:t>
      </w:r>
      <w:r>
        <w:rPr>
          <w:rFonts w:ascii="Arial" w:hAnsi="Arial" w:eastAsia="Arial"/>
          <w:b w:val="0"/>
          <w:i w:val="0"/>
          <w:color w:val="212121"/>
          <w:sz w:val="22"/>
        </w:rPr>
        <w:t xml:space="preserve">follow-up email) centered around a discussion of systemic racism and steps forward for change. </w:t>
      </w:r>
      <w:r>
        <w:rPr>
          <w:rFonts w:ascii="Arial" w:hAnsi="Arial" w:eastAsia="Arial"/>
          <w:b w:val="0"/>
          <w:i w:val="0"/>
          <w:color w:val="212121"/>
          <w:sz w:val="22"/>
        </w:rPr>
        <w:t xml:space="preserve">We hope you will join us. </w:t>
      </w:r>
    </w:p>
    <w:p>
      <w:pPr>
        <w:autoSpaceDN w:val="0"/>
        <w:autoSpaceDE w:val="0"/>
        <w:widowControl/>
        <w:spacing w:line="233" w:lineRule="auto" w:before="2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Sincerely, </w:t>
      </w:r>
    </w:p>
    <w:p>
      <w:pPr>
        <w:autoSpaceDN w:val="0"/>
        <w:autoSpaceDE w:val="0"/>
        <w:widowControl/>
        <w:spacing w:line="233" w:lineRule="auto" w:before="2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Amanda Rudolph and Adeene Denton </w:t>
      </w:r>
    </w:p>
    <w:p>
      <w:pPr>
        <w:autoSpaceDN w:val="0"/>
        <w:autoSpaceDE w:val="0"/>
        <w:widowControl/>
        <w:spacing w:line="233" w:lineRule="auto" w:before="2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Co-Signed by: </w:t>
      </w:r>
    </w:p>
    <w:p>
      <w:pPr>
        <w:autoSpaceDN w:val="0"/>
        <w:autoSpaceDE w:val="0"/>
        <w:widowControl/>
        <w:spacing w:line="233" w:lineRule="auto" w:before="2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[31 graduate students whose names I removed for sharing purposes]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ature.com/articles/s41561-018-0116-6" TargetMode="External"/><Relationship Id="rId10" Type="http://schemas.openxmlformats.org/officeDocument/2006/relationships/hyperlink" Target="https://www.eaps.purdue.edu/docs/pdfs/2015-2019_EAPS_strategic_plan.pdf" TargetMode="External"/><Relationship Id="rId11" Type="http://schemas.openxmlformats.org/officeDocument/2006/relationships/hyperlink" Target="https://www.agu.org/-/media/Files/AGU-Scientific-Integrity-and-Professional-Ethics-Policy.pdf" TargetMode="External"/><Relationship Id="rId12" Type="http://schemas.openxmlformats.org/officeDocument/2006/relationships/hyperlink" Target="https://aas.org/policies/ethics" TargetMode="External"/><Relationship Id="rId13" Type="http://schemas.openxmlformats.org/officeDocument/2006/relationships/hyperlink" Target="https://astrobites.org/2020/06/03/how-can-we-support-black-astronomers/" TargetMode="External"/><Relationship Id="rId14" Type="http://schemas.openxmlformats.org/officeDocument/2006/relationships/hyperlink" Target="https://www.ncbi.nlm.nih.gov/pmc/articles/PMC3596160/" TargetMode="External"/><Relationship Id="rId15" Type="http://schemas.openxmlformats.org/officeDocument/2006/relationships/hyperlink" Target="https://www.insidehighered.com/news/2016/01/06/new-book-reveals-how-elite-phd-admissions-committees-review-candidates" TargetMode="External"/><Relationship Id="rId16" Type="http://schemas.openxmlformats.org/officeDocument/2006/relationships/hyperlink" Target="https://docs.google.com/document/d/1fPueXzOK-KkDD6Gye9h4wUiAQwTwGS_VFiUa74Bes_k/edit" TargetMode="External"/><Relationship Id="rId17" Type="http://schemas.openxmlformats.org/officeDocument/2006/relationships/hyperlink" Target="https://twitter.com/i/events/1101571329592119297" TargetMode="External"/><Relationship Id="rId18" Type="http://schemas.openxmlformats.org/officeDocument/2006/relationships/hyperlink" Target="https://blacklivesmatters.carrd.co/#donate" TargetMode="External"/><Relationship Id="rId19" Type="http://schemas.openxmlformats.org/officeDocument/2006/relationships/hyperlink" Target="https://www.communityjusticeexchange.org/nbfn-directory" TargetMode="External"/><Relationship Id="rId20" Type="http://schemas.openxmlformats.org/officeDocument/2006/relationships/hyperlink" Target="https://www.iamstemproject.org/" TargetMode="External"/><Relationship Id="rId21" Type="http://schemas.openxmlformats.org/officeDocument/2006/relationships/hyperlink" Target="https://www.blackgirlscode.com/" TargetMode="External"/><Relationship Id="rId22" Type="http://schemas.openxmlformats.org/officeDocument/2006/relationships/hyperlink" Target="https://bit.ly/2XQiDu4" TargetMode="External"/><Relationship Id="rId23" Type="http://schemas.openxmlformats.org/officeDocument/2006/relationships/hyperlink" Target="https://docs.google.com/document/d/1KKIypC1GiZJaOaVseCRznKSIyNKwidIVjdWo5FBX1y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