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30" w:lineRule="auto" w:before="144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Dear Earth and Environmental Sciences Faculty,</w:t>
      </w:r>
    </w:p>
    <w:p>
      <w:pPr>
        <w:autoSpaceDN w:val="0"/>
        <w:tabs>
          <w:tab w:pos="2160" w:val="left"/>
          <w:tab w:pos="9212" w:val="left"/>
        </w:tabs>
        <w:autoSpaceDE w:val="0"/>
        <w:widowControl/>
        <w:spacing w:line="274" w:lineRule="auto" w:before="338" w:after="0"/>
        <w:ind w:left="1440" w:right="1440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Thank you for your response to our antiracism action letter. We recognize the process of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enacting change in our department and our university will be a continual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project, and we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wanted to continue this process by responding to your letter. We hope that as we move through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this process, we can keep the lines of communication open and facilitate a dialogue between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students and faculty. We were encouraged by your thorough response to our original letter;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however, we feel that there is more work to be done. We have noticed and appreciate programs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that the department has already set in action, such as the planned department presence at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SACNAS; the department’s participation in the AGU Bridge program; the elimination of the GRE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 the graduate application process; and the consideration of community-engaged research and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scholarship in the tenure review process. Still, we feel that the faculty response neglected some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important issues, either through the omission of specific plans to remedy them or by </w:t>
      </w:r>
      <w:r>
        <w:rPr>
          <w:rFonts w:ascii="Arial" w:hAnsi="Arial" w:eastAsia="Arial"/>
          <w:b w:val="0"/>
          <w:i w:val="0"/>
          <w:color w:val="000000"/>
          <w:sz w:val="22"/>
        </w:rPr>
        <w:t>characterizing them as impossible to act on in the short term.</w:t>
      </w:r>
    </w:p>
    <w:p>
      <w:pPr>
        <w:autoSpaceDN w:val="0"/>
        <w:autoSpaceDE w:val="0"/>
        <w:widowControl/>
        <w:spacing w:line="271" w:lineRule="auto" w:before="336" w:after="0"/>
        <w:ind w:left="1440" w:right="1440" w:firstLine="72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The purpose of this letter, then, is to highlight these issues and push for concrete plans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that can be implemented in the near future. It serves both as a response to the faculty letter and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as a further articulation of our experiences in the department. While we as a student body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understand that we must be a part of any change enacted in the department, we ask for a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response from the faculty that goes beyond statements of support. We ask that all faculty be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involved in planning these changes and that they take part in the action alongside students. We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emphasize that this work must be taken on by all faculty; it cannot just fall on the shoulders of a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few overburdened allies. The remainder of this letter highlights specific problems we feel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deserve a more detailed response in an attempt to move our conversation around these issues </w:t>
      </w:r>
      <w:r>
        <w:rPr>
          <w:rFonts w:ascii="Arial" w:hAnsi="Arial" w:eastAsia="Arial"/>
          <w:b w:val="0"/>
          <w:i w:val="0"/>
          <w:color w:val="000000"/>
          <w:sz w:val="22"/>
        </w:rPr>
        <w:t>towards a more organized, action-oriented format.</w:t>
      </w:r>
    </w:p>
    <w:p>
      <w:pPr>
        <w:autoSpaceDN w:val="0"/>
        <w:autoSpaceDE w:val="0"/>
        <w:widowControl/>
        <w:spacing w:line="271" w:lineRule="auto" w:before="336" w:after="0"/>
        <w:ind w:left="1440" w:right="1440" w:firstLine="72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We ask that the faculty begin to incorporate issues of Indigenous sovereignty and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History and Environmental Justice (EJ) into the Earth Science curriculum, highlighting the ways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these issues intersect with more traditional geoscience subjects. We ask that the faculty push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themselves toward more inclusive teaching, especially during times when students must face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challenges of online learning. We ask that the department continue to overhaul its approach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to field courses with the aim of removing the barriers these courses impose on many students.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Finally, we ask that the faculty communicate with the students as they move forward with these </w:t>
      </w:r>
      <w:r>
        <w:rPr>
          <w:rFonts w:ascii="Arial" w:hAnsi="Arial" w:eastAsia="Arial"/>
          <w:b w:val="0"/>
          <w:i w:val="0"/>
          <w:color w:val="000000"/>
          <w:sz w:val="22"/>
        </w:rPr>
        <w:t>changes, ensuring that all members remain a cohesive unit.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We hope to discuss this letter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with you during an upcoming facilitated conversation between students and faculty and </w:t>
      </w:r>
      <w:r>
        <w:rPr>
          <w:rFonts w:ascii="Arial" w:hAnsi="Arial" w:eastAsia="Arial"/>
          <w:b/>
          <w:i w:val="0"/>
          <w:color w:val="000000"/>
          <w:sz w:val="22"/>
        </w:rPr>
        <w:t>work alongside you as we continue to try and build a more equitable department.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tabs>
          <w:tab w:pos="9788" w:val="left"/>
        </w:tabs>
        <w:autoSpaceDE w:val="0"/>
        <w:widowControl/>
        <w:spacing w:line="230" w:lineRule="auto" w:before="72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Student Response Letter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Jan. 2021</w:t>
      </w:r>
    </w:p>
    <w:p>
      <w:pPr>
        <w:autoSpaceDN w:val="0"/>
        <w:autoSpaceDE w:val="0"/>
        <w:widowControl/>
        <w:spacing w:line="233" w:lineRule="auto" w:before="476" w:after="26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>1. (Indigenous) EJ Issues, Native Histories and Tribal Sovereignty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2040"/>
        <w:gridCol w:w="2040"/>
        <w:gridCol w:w="2040"/>
        <w:gridCol w:w="2040"/>
        <w:gridCol w:w="2040"/>
        <w:gridCol w:w="2040"/>
      </w:tblGrid>
      <w:tr>
        <w:trPr>
          <w:trHeight w:hRule="exact" w:val="294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7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We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are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disappointed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that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the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1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department believes the inclusion of Indigenous</w:t>
            </w:r>
          </w:p>
        </w:tc>
      </w:tr>
    </w:tbl>
    <w:p>
      <w:pPr>
        <w:autoSpaceDN w:val="0"/>
        <w:autoSpaceDE w:val="0"/>
        <w:widowControl/>
        <w:spacing w:line="274" w:lineRule="auto" w:before="24" w:after="0"/>
        <w:ind w:left="1440" w:right="1440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sovereignty and environmental justice (EJ) in its curriculum and degree programs is impractical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impossible at this time. We recognize that these changes require considerable dialogue and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time, but we believe this issue should be top priority within the department regardless. We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recognize that all faculty are significantly stressed and exhausted from the COVID-19 pandemic,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particularly those who have taken on additional family care responsibilities. We also recognize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that issues of EJ have many specificities resulting from complex (albeit non-mutually exclusive)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histories of settler colonialism, anti-Blackness, and other forms of white supremacy that require </w:t>
      </w:r>
      <w:r>
        <w:rPr>
          <w:rFonts w:ascii="Arial" w:hAnsi="Arial" w:eastAsia="Arial"/>
          <w:b w:val="0"/>
          <w:i w:val="0"/>
          <w:color w:val="000000"/>
          <w:sz w:val="22"/>
        </w:rPr>
        <w:t>critical analyses. Still, we ask</w:t>
      </w:r>
      <w:r>
        <w:rPr>
          <w:rFonts w:ascii="Arial" w:hAnsi="Arial" w:eastAsia="Arial"/>
          <w:b w:val="0"/>
          <w:i/>
          <w:color w:val="000000"/>
          <w:sz w:val="22"/>
        </w:rPr>
        <w:t xml:space="preserve"> faculty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to commit to the following goals now and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take action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within their current abilities to learn more about EJ issues and struggles, build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relationships with scholars across the UMN system with relevant expertise, and make </w:t>
      </w:r>
      <w:r>
        <w:rPr>
          <w:rFonts w:ascii="Arial" w:hAnsi="Arial" w:eastAsia="Arial"/>
          <w:b/>
          <w:i w:val="0"/>
          <w:color w:val="000000"/>
          <w:sz w:val="22"/>
        </w:rPr>
        <w:t>small changes to their courses and our degree programs each year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just as they regularly </w:t>
      </w:r>
      <w:r>
        <w:rPr>
          <w:rFonts w:ascii="Arial" w:hAnsi="Arial" w:eastAsia="Arial"/>
          <w:b w:val="0"/>
          <w:i w:val="0"/>
          <w:color w:val="000000"/>
          <w:sz w:val="22"/>
        </w:rPr>
        <w:t>update courses with new scientific advances.</w:t>
      </w:r>
    </w:p>
    <w:p>
      <w:pPr>
        <w:autoSpaceDN w:val="0"/>
        <w:tabs>
          <w:tab w:pos="2160" w:val="left"/>
        </w:tabs>
        <w:autoSpaceDE w:val="0"/>
        <w:widowControl/>
        <w:spacing w:line="274" w:lineRule="auto" w:before="336" w:after="0"/>
        <w:ind w:left="1440" w:right="144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Our Responsibilities on Dakota Land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University of Minnesota Twin Cities occupies the traditional (and contemporary)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homelands of the Dakota people as a land-grant university. The establishment and the functions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of this institution, including our department and the Minnesota Geological Suvery, were made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possible through legacies of settler colonialism, land theft, genocide (and dispossession) of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Dakota, the Očhéthi Šakówiŋ, the Ojibwe and other American Indian tribal nations and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communities who have called Mni Sota Makoce (Minnesota) home (Lass 1992; Lee and Ahtone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2020). Furthermore, our department, the institution and the formal geoscience discipline, were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made possible through histories of anti-Black state violence: American University and Collegiate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systems were and are still today complicit in regulating, maintaining, and defending settler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property that was acquired through the enslavement of Black people, the theft of Native land,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the genocide of Indigenous peoples (Wilder 2013; Yusoff 2018). In addition to occupying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stolen Dakota homelands, our department is situated in a settler colonial nation-state that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enacts systemic and militarized forms of anti-Black violence and disproportionately subjects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communities of color (particularly BIPOC communities) to the health hazards of environmental </w:t>
      </w:r>
      <w:r>
        <w:rPr>
          <w:rFonts w:ascii="Arial" w:hAnsi="Arial" w:eastAsia="Arial"/>
          <w:b w:val="0"/>
          <w:i w:val="0"/>
          <w:color w:val="000000"/>
          <w:sz w:val="22"/>
        </w:rPr>
        <w:t>pollutants and toxins.</w:t>
      </w:r>
    </w:p>
    <w:p>
      <w:pPr>
        <w:autoSpaceDN w:val="0"/>
        <w:autoSpaceDE w:val="0"/>
        <w:widowControl/>
        <w:spacing w:line="274" w:lineRule="auto" w:before="44" w:after="0"/>
        <w:ind w:left="1440" w:right="1440" w:firstLine="72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In the wake of George Floyd’s murder, countless historical (and ongoing) struggles for </w:t>
      </w:r>
      <w:r>
        <w:rPr>
          <w:rFonts w:ascii="Arial" w:hAnsi="Arial" w:eastAsia="Arial"/>
          <w:b w:val="0"/>
          <w:i w:val="0"/>
          <w:color w:val="000000"/>
          <w:sz w:val="22"/>
        </w:rPr>
        <w:t>Black life and liberation and the recent coup attempt at the Capitol by nationalist neo-Nazis,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we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find it imperative and non-negotiable that our department reconcile its place as a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beneficiary of white supremacy, anti-Black violence and the dispossession and genocide </w:t>
      </w:r>
      <w:r>
        <w:rPr>
          <w:rFonts w:ascii="Arial" w:hAnsi="Arial" w:eastAsia="Arial"/>
          <w:b/>
          <w:i w:val="0"/>
          <w:color w:val="000000"/>
          <w:sz w:val="22"/>
        </w:rPr>
        <w:t>of Native peoples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. Furthermore, the legacies and day-to-day activities of the UMN TC, our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department, and the MGS still remain predicated on these inseparable histories. As members of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this land-grant university and in recognition of the how we are implicated in these histories and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legacies of violence (i.e. the ways that we benefit from and/ or participate in the erasure of these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histories), we share imperative obligation(s) to the Dakota, whose lands were stolen, obtained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through especially violent, fraudulent means and are now currently maintained for the purposes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of upholding settler interests and sustaining the UMN TC’s functions. For these reasons and in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response to faculty concerns over the logistics and (in)feasibility of implementing these </w:t>
      </w:r>
      <w:r>
        <w:rPr>
          <w:rFonts w:ascii="Arial" w:hAnsi="Arial" w:eastAsia="Arial"/>
          <w:b w:val="0"/>
          <w:i w:val="0"/>
          <w:color w:val="000000"/>
          <w:sz w:val="22"/>
        </w:rPr>
        <w:t>changes, we maintain our initial demands and visions for more inclusive and critically informed</w:t>
      </w:r>
    </w:p>
    <w:p>
      <w:pPr>
        <w:autoSpaceDN w:val="0"/>
        <w:autoSpaceDE w:val="0"/>
        <w:widowControl/>
        <w:spacing w:line="233" w:lineRule="auto" w:before="58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>1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6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60"/>
        <w:gridCol w:w="3060"/>
        <w:gridCol w:w="3060"/>
        <w:gridCol w:w="3060"/>
      </w:tblGrid>
      <w:tr>
        <w:trPr>
          <w:trHeight w:hRule="exact" w:val="532"/>
        </w:trPr>
        <w:tc>
          <w:tcPr>
            <w:tcW w:type="dxa" w:w="40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7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Student Response Letter</w:t>
            </w:r>
          </w:p>
        </w:tc>
        <w:tc>
          <w:tcPr>
            <w:tcW w:type="dxa" w:w="67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74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Jan. 2021</w:t>
            </w:r>
          </w:p>
          <w:p>
            <w:pPr>
              <w:autoSpaceDN w:val="0"/>
              <w:autoSpaceDE w:val="0"/>
              <w:widowControl/>
              <w:spacing w:line="230" w:lineRule="auto" w:before="476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pedagogies, research methods and relationship-building</w:t>
            </w:r>
          </w:p>
        </w:tc>
      </w:tr>
      <w:tr>
        <w:trPr>
          <w:trHeight w:hRule="exact" w:val="516"/>
        </w:trPr>
        <w:tc>
          <w:tcPr>
            <w:tcW w:type="dxa" w:w="1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8" w:after="0"/>
              <w:ind w:left="0" w:right="8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teaching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strategies,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curriculum,</w:t>
            </w:r>
          </w:p>
        </w:tc>
        <w:tc>
          <w:tcPr>
            <w:tcW w:type="dxa" w:w="306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2" w:after="0"/>
        <w:ind w:left="1440" w:right="1444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practices that account for and (re)center Native histories, issues and epistemologies, and just as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importantly (re)prioritize our relations with Minnesota tribal nations. We will continue to seek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these changes as long as our department benefits at the expense of the Dakota, the Očhéthi </w:t>
      </w:r>
      <w:r>
        <w:rPr>
          <w:rFonts w:ascii="Arial" w:hAnsi="Arial" w:eastAsia="Arial"/>
          <w:b w:val="0"/>
          <w:i w:val="0"/>
          <w:color w:val="000000"/>
          <w:sz w:val="22"/>
        </w:rPr>
        <w:t>Šakówiŋ and the Anishinaabe peoples.</w:t>
      </w:r>
    </w:p>
    <w:p>
      <w:pPr>
        <w:autoSpaceDN w:val="0"/>
        <w:tabs>
          <w:tab w:pos="2160" w:val="left"/>
        </w:tabs>
        <w:autoSpaceDE w:val="0"/>
        <w:widowControl/>
        <w:spacing w:line="274" w:lineRule="auto" w:before="336" w:after="0"/>
        <w:ind w:left="1440" w:right="144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Taking Action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 this section, we offer some proposals and possibilities to both address faculty </w:t>
      </w:r>
      <w:r>
        <w:rPr>
          <w:rFonts w:ascii="Arial" w:hAnsi="Arial" w:eastAsia="Arial"/>
          <w:b w:val="0"/>
          <w:i w:val="0"/>
          <w:color w:val="000000"/>
          <w:sz w:val="22"/>
        </w:rPr>
        <w:t>concerns over the perceived</w:t>
      </w:r>
      <w:r>
        <w:rPr>
          <w:rFonts w:ascii="Arial" w:hAnsi="Arial" w:eastAsia="Arial"/>
          <w:b w:val="0"/>
          <w:i/>
          <w:color w:val="000000"/>
          <w:sz w:val="22"/>
        </w:rPr>
        <w:t xml:space="preserve"> impracticality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and/or</w:t>
      </w:r>
      <w:r>
        <w:rPr>
          <w:rFonts w:ascii="Arial" w:hAnsi="Arial" w:eastAsia="Arial"/>
          <w:b w:val="0"/>
          <w:i/>
          <w:color w:val="000000"/>
          <w:sz w:val="22"/>
        </w:rPr>
        <w:t xml:space="preserve"> inability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of (re)centering or including course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material on Native and Black EJ struggles, histories and issues and further advocate for more </w:t>
      </w:r>
      <w:r>
        <w:rPr>
          <w:rFonts w:ascii="Arial" w:hAnsi="Arial" w:eastAsia="Arial"/>
          <w:b w:val="0"/>
          <w:i w:val="0"/>
          <w:color w:val="000000"/>
          <w:sz w:val="22"/>
        </w:rPr>
        <w:t>critical and informed departmental curriculum, functions and teaching practices.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We request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that our faculty become even more informed about Native and Black histories, issues and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EJ struggles AND in turn hold other department members and students accountable for </w:t>
      </w:r>
      <w:r>
        <w:rPr>
          <w:rFonts w:ascii="Arial" w:hAnsi="Arial" w:eastAsia="Arial"/>
          <w:b/>
          <w:i w:val="0"/>
          <w:color w:val="000000"/>
          <w:sz w:val="22"/>
        </w:rPr>
        <w:t>doing the same.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We further suggest and ask that this be done through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increased faculty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collaboration, communication and networking with American Indian, First-Nation and </w:t>
      </w:r>
      <w:r>
        <w:rPr>
          <w:rFonts w:ascii="Arial" w:hAnsi="Arial" w:eastAsia="Arial"/>
          <w:b/>
          <w:i w:val="0"/>
          <w:color w:val="000000"/>
          <w:sz w:val="22"/>
        </w:rPr>
        <w:t>other Indigenous scholars, scientists, experts and activists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who are currently and for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decades have been doing cutting edge (interdisciplinary) work on the intersection(s) between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Native sovereignty rights, histories of settler colonialism, geography, the epidemic of violence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against Native women in the US and Canada, Native traditional ecological knowledge systems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(TEK) and climate change, environmental policy, Native EJ struggles, biotechnology (and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sustainable energy) development projects and other environmental science-related issues. We </w:t>
      </w:r>
      <w:r>
        <w:rPr>
          <w:rFonts w:ascii="Arial" w:hAnsi="Arial" w:eastAsia="Arial"/>
          <w:b w:val="0"/>
          <w:i w:val="0"/>
          <w:color w:val="000000"/>
          <w:sz w:val="22"/>
        </w:rPr>
        <w:t>call for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increased coordination and communication with the UMN TC’s Department of </w:t>
      </w:r>
      <w:r>
        <w:rPr>
          <w:rFonts w:ascii="Arial" w:hAnsi="Arial" w:eastAsia="Arial"/>
          <w:b/>
          <w:i w:val="0"/>
          <w:color w:val="000000"/>
          <w:sz w:val="22"/>
        </w:rPr>
        <w:t>American Indian Studies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whose members not only specialize in and teach undergraduate and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graduate courses on Native history, Indigenous TEK systems, Federal Indian policy, and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Indigenous environmental issues but also participate in and organize talks, seminars and </w:t>
      </w:r>
      <w:r>
        <w:rPr>
          <w:rFonts w:ascii="Arial" w:hAnsi="Arial" w:eastAsia="Arial"/>
          <w:b w:val="0"/>
          <w:i w:val="0"/>
          <w:color w:val="000000"/>
          <w:sz w:val="22"/>
        </w:rPr>
        <w:t>workshops that foreground this work.</w:t>
      </w:r>
    </w:p>
    <w:p>
      <w:pPr>
        <w:autoSpaceDN w:val="0"/>
        <w:autoSpaceDE w:val="0"/>
        <w:widowControl/>
        <w:spacing w:line="271" w:lineRule="auto" w:before="46" w:after="0"/>
        <w:ind w:left="1440" w:right="1440" w:firstLine="72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We anticipate that this will not only solve the issue of logistics and inability to teach about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these issues within the department but also provide faculty and other department members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opportunities to (re)tend to community and university relations and become even more informed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about or familiar with these issues in ways where these complicated (and often fraught) issues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can be critically situated and done justice by experts on those topics. These efforts will in turn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further improve upon, critically inform, and/ or (re)shape Earth Science methodologies, </w:t>
      </w:r>
      <w:r>
        <w:rPr>
          <w:rFonts w:ascii="Arial" w:hAnsi="Arial" w:eastAsia="Arial"/>
          <w:b w:val="0"/>
          <w:i w:val="0"/>
          <w:color w:val="000000"/>
          <w:sz w:val="22"/>
        </w:rPr>
        <w:t>practices, pedagogies, curriculum and work. At the very least, we envision that our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department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members will seek out resources and opportunities to become more informed about the </w:t>
      </w:r>
      <w:r>
        <w:rPr>
          <w:rFonts w:ascii="Arial" w:hAnsi="Arial" w:eastAsia="Arial"/>
          <w:b/>
          <w:i w:val="0"/>
          <w:color w:val="000000"/>
          <w:sz w:val="22"/>
        </w:rPr>
        <w:t>history of Mni Sota Makoce and the land which the UMN TC occupies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AND just as </w:t>
      </w:r>
      <w:r>
        <w:rPr>
          <w:rFonts w:ascii="Arial" w:hAnsi="Arial" w:eastAsia="Arial"/>
          <w:b w:val="0"/>
          <w:i w:val="0"/>
          <w:color w:val="000000"/>
          <w:sz w:val="22"/>
        </w:rPr>
        <w:t>importantly,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hold each other and our students accountable for doing the same through </w:t>
      </w:r>
      <w:r>
        <w:rPr>
          <w:rFonts w:ascii="Arial" w:hAnsi="Arial" w:eastAsia="Arial"/>
          <w:b/>
          <w:i w:val="0"/>
          <w:color w:val="000000"/>
          <w:sz w:val="22"/>
        </w:rPr>
        <w:t>promoting, sharing and circulating relevant events, resources and material.</w:t>
      </w:r>
    </w:p>
    <w:p>
      <w:pPr>
        <w:autoSpaceDN w:val="0"/>
        <w:autoSpaceDE w:val="0"/>
        <w:widowControl/>
        <w:spacing w:line="269" w:lineRule="auto" w:before="336" w:after="0"/>
        <w:ind w:left="1440" w:right="144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We envision that faculty members will be committed to: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1. Sharing and promoting resources that include (but are not limited to) UMN TC Dept. of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American Indian Studies classes and readings (particularly on Dakota and Očhéthi Šakówiŋ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histories) AND that this material be promoted/ shared in EarthSci curriculum, department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newsletter(s), on the new department website and/ or through department-wide or in-class </w:t>
      </w:r>
      <w:r>
        <w:rPr>
          <w:rFonts w:ascii="Arial" w:hAnsi="Arial" w:eastAsia="Arial"/>
          <w:b w:val="0"/>
          <w:i w:val="0"/>
          <w:color w:val="000000"/>
          <w:sz w:val="22"/>
        </w:rPr>
        <w:t>announcements.</w:t>
      </w:r>
    </w:p>
    <w:p>
      <w:pPr>
        <w:autoSpaceDN w:val="0"/>
        <w:autoSpaceDE w:val="0"/>
        <w:widowControl/>
        <w:spacing w:line="233" w:lineRule="auto" w:before="634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>2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6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6120"/>
        <w:gridCol w:w="6120"/>
      </w:tblGrid>
      <w:tr>
        <w:trPr>
          <w:trHeight w:hRule="exact" w:val="364"/>
        </w:trPr>
        <w:tc>
          <w:tcPr>
            <w:tcW w:type="dxa" w:w="6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7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Student Response Letter</w:t>
            </w:r>
          </w:p>
        </w:tc>
        <w:tc>
          <w:tcPr>
            <w:tcW w:type="dxa" w:w="4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72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Jan. 2021</w:t>
            </w:r>
          </w:p>
        </w:tc>
      </w:tr>
    </w:tbl>
    <w:p>
      <w:pPr>
        <w:autoSpaceDN w:val="0"/>
        <w:autoSpaceDE w:val="0"/>
        <w:widowControl/>
        <w:spacing w:line="262" w:lineRule="auto" w:before="706" w:after="0"/>
        <w:ind w:left="1440" w:right="1446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>2. Building</w:t>
      </w:r>
      <w:r>
        <w:rPr>
          <w:rFonts w:ascii="Arial" w:hAnsi="Arial" w:eastAsia="Arial"/>
          <w:b w:val="0"/>
          <w:i/>
          <w:color w:val="000000"/>
          <w:sz w:val="22"/>
        </w:rPr>
        <w:t xml:space="preserve"> meaningful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partnerships across the UMN TC campus, the greater UMN system and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wider Twin-Cities community with experts on Indigenous EJ-related issues, Native histories </w:t>
      </w:r>
      <w:r>
        <w:rPr>
          <w:rFonts w:ascii="Arial" w:hAnsi="Arial" w:eastAsia="Arial"/>
          <w:b w:val="0"/>
          <w:i w:val="0"/>
          <w:color w:val="000000"/>
          <w:sz w:val="22"/>
        </w:rPr>
        <w:t>and general EJ-related struggles.</w:t>
      </w:r>
    </w:p>
    <w:p>
      <w:pPr>
        <w:autoSpaceDN w:val="0"/>
        <w:autoSpaceDE w:val="0"/>
        <w:widowControl/>
        <w:spacing w:line="254" w:lineRule="auto" w:before="336" w:after="276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3. Adjusting curriculum in ways that (re)center and engage with</w:t>
      </w:r>
      <w:r>
        <w:rPr>
          <w:rFonts w:ascii="Arial" w:hAnsi="Arial" w:eastAsia="Arial"/>
          <w:b w:val="0"/>
          <w:i/>
          <w:color w:val="000000"/>
          <w:sz w:val="22"/>
        </w:rPr>
        <w:t xml:space="preserve"> tribally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and/ or</w:t>
      </w:r>
      <w:r>
        <w:rPr>
          <w:rFonts w:ascii="Arial" w:hAnsi="Arial" w:eastAsia="Arial"/>
          <w:b w:val="0"/>
          <w:i/>
          <w:color w:val="000000"/>
          <w:sz w:val="22"/>
        </w:rPr>
        <w:t xml:space="preserve"> nationally </w:t>
      </w:r>
      <w:r>
        <w:rPr>
          <w:rFonts w:ascii="Arial" w:hAnsi="Arial" w:eastAsia="Arial"/>
          <w:b w:val="0"/>
          <w:i/>
          <w:color w:val="000000"/>
          <w:sz w:val="22"/>
        </w:rPr>
        <w:t>specific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Native epistemologies, histories and EJ-related issues.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>
        <w:trPr>
          <w:trHeight w:hRule="exact" w:val="33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9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Attending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seminars,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workshops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and/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or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informative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events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on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issues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relating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to</w:t>
            </w:r>
          </w:p>
        </w:tc>
      </w:tr>
    </w:tbl>
    <w:p>
      <w:pPr>
        <w:autoSpaceDN w:val="0"/>
        <w:autoSpaceDE w:val="0"/>
        <w:widowControl/>
        <w:spacing w:line="262" w:lineRule="auto" w:before="22" w:after="0"/>
        <w:ind w:left="1440" w:right="1442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decolonization, Indigenous EJ struggles, Indigenous TEK systems, tribal sovereignty and Native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history, particularly but not limited to events hosted by the Dept. of American Indian Studies and </w:t>
      </w:r>
      <w:r>
        <w:rPr>
          <w:rFonts w:ascii="Arial" w:hAnsi="Arial" w:eastAsia="Arial"/>
          <w:b w:val="0"/>
          <w:i w:val="0"/>
          <w:color w:val="000000"/>
          <w:sz w:val="22"/>
        </w:rPr>
        <w:t>the Institute for Advanced Studies.</w:t>
      </w:r>
    </w:p>
    <w:p>
      <w:pPr>
        <w:autoSpaceDN w:val="0"/>
        <w:autoSpaceDE w:val="0"/>
        <w:widowControl/>
        <w:spacing w:line="266" w:lineRule="auto" w:before="336" w:after="0"/>
        <w:ind w:left="1440" w:right="1448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5. Recognizing and explicitly addressing the values embedded in the science we teach and their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material implications for BIPOC communities. This might look like critically assessing the legacy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of the Army Corps of Engineers within the contexts of Environmental (In)justice towards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impacted tribal nations or the development of more “sustainable” energy biotechnology with </w:t>
      </w:r>
      <w:r>
        <w:rPr>
          <w:rFonts w:ascii="Arial" w:hAnsi="Arial" w:eastAsia="Arial"/>
          <w:b w:val="0"/>
          <w:i w:val="0"/>
          <w:color w:val="000000"/>
          <w:sz w:val="22"/>
        </w:rPr>
        <w:t>regards to Indigenous communities in introductory ESCI course labs and case studies.</w:t>
      </w:r>
    </w:p>
    <w:p>
      <w:pPr>
        <w:autoSpaceDN w:val="0"/>
        <w:autoSpaceDE w:val="0"/>
        <w:widowControl/>
        <w:spacing w:line="254" w:lineRule="auto" w:before="336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6. Issuing/ providing comprehensive land acknowledgements that include Indigenous place </w:t>
      </w:r>
      <w:r>
        <w:rPr>
          <w:rFonts w:ascii="Arial" w:hAnsi="Arial" w:eastAsia="Arial"/>
          <w:b w:val="0"/>
          <w:i w:val="0"/>
          <w:color w:val="000000"/>
          <w:sz w:val="22"/>
        </w:rPr>
        <w:t>names, histories, and current EJ issues in preparation for and/ or during field trips.</w:t>
      </w:r>
    </w:p>
    <w:p>
      <w:pPr>
        <w:autoSpaceDN w:val="0"/>
        <w:autoSpaceDE w:val="0"/>
        <w:widowControl/>
        <w:spacing w:line="254" w:lineRule="auto" w:before="336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7. Further explore, research and acknowledge the intersections between Geoscience and EJ, </w:t>
      </w:r>
      <w:r>
        <w:rPr>
          <w:rFonts w:ascii="Arial" w:hAnsi="Arial" w:eastAsia="Arial"/>
          <w:b w:val="0"/>
          <w:i w:val="0"/>
          <w:color w:val="000000"/>
          <w:sz w:val="22"/>
        </w:rPr>
        <w:t>potentially starting with our suggested reading list (Appendix).</w:t>
      </w:r>
    </w:p>
    <w:p>
      <w:pPr>
        <w:autoSpaceDN w:val="0"/>
        <w:autoSpaceDE w:val="0"/>
        <w:widowControl/>
        <w:spacing w:line="233" w:lineRule="auto" w:before="6452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>3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tabs>
          <w:tab w:pos="9788" w:val="left"/>
        </w:tabs>
        <w:autoSpaceDE w:val="0"/>
        <w:widowControl/>
        <w:spacing w:line="230" w:lineRule="auto" w:before="72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Student Response Letter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Jan. 2021</w:t>
      </w:r>
    </w:p>
    <w:p>
      <w:pPr>
        <w:autoSpaceDN w:val="0"/>
        <w:autoSpaceDE w:val="0"/>
        <w:widowControl/>
        <w:spacing w:line="274" w:lineRule="auto" w:before="476" w:after="0"/>
        <w:ind w:left="1440" w:right="1440" w:firstLine="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 xml:space="preserve">2. Inclusive teaching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As stated in the faculty response letter, the department encourages faculty to proactively use </w:t>
      </w:r>
      <w:r>
        <w:rPr>
          <w:rFonts w:ascii="Arial" w:hAnsi="Arial" w:eastAsia="Arial"/>
          <w:b w:val="0"/>
          <w:i w:val="0"/>
          <w:color w:val="000000"/>
          <w:sz w:val="22"/>
        </w:rPr>
        <w:t>student-centered pedagogy and recognizes participation of faculty members in</w:t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9" w:history="1">
          <w:r>
            <w:rPr>
              <w:rStyle w:val="Hyperlink"/>
            </w:rPr>
            <w:t>CEI trainings</w:t>
          </w:r>
        </w:hyperlink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0" w:history="1">
          <w:r>
            <w:rPr>
              <w:rStyle w:val="Hyperlink"/>
            </w:rPr>
            <w:t>consultations</w:t>
          </w:r>
        </w:hyperlink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and workshops in annual reviews. A growing body of literature demonstrates that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inclusive teaching and other student-centered learning practices improve learning for all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students and, critically, can help to reduce the achievement gap for students from </w:t>
      </w:r>
      <w:r>
        <w:rPr>
          <w:rFonts w:ascii="Arial" w:hAnsi="Arial" w:eastAsia="Arial"/>
          <w:b/>
          <w:i w:val="0"/>
          <w:color w:val="000000"/>
          <w:sz w:val="22"/>
        </w:rPr>
        <w:t>underrepresented groups.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In order to fulfill the department’s vision statement of being “global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regional leaders in Earth Science research and education” we must commit to inclusive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teaching practices in order to enhance diversity, equity, and inclusion in our department.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January Classroom Inclusivity Retreat is a meaningful step that builds momentum for regular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inclusive teaching seminars and workshops in this department. However, there is also an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individual responsibility on each faculty member, staff member, and instructor to actively practice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inclusive teaching. Based on our experiences in ESCI classes, STEM education literature, and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CEI teaching workshops, we recommend the practices listed below to help foster more inclusive </w:t>
      </w:r>
      <w:r>
        <w:rPr>
          <w:rFonts w:ascii="Arial" w:hAnsi="Arial" w:eastAsia="Arial"/>
          <w:b w:val="0"/>
          <w:i w:val="0"/>
          <w:color w:val="000000"/>
          <w:sz w:val="22"/>
        </w:rPr>
        <w:t>classrooms, both online and in person, as well as a more inclusive department.</w:t>
      </w:r>
    </w:p>
    <w:p>
      <w:pPr>
        <w:autoSpaceDN w:val="0"/>
        <w:tabs>
          <w:tab w:pos="2160" w:val="left"/>
        </w:tabs>
        <w:autoSpaceDE w:val="0"/>
        <w:widowControl/>
        <w:spacing w:line="269" w:lineRule="auto" w:before="336" w:after="24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Take responsibility for routinely practicing inclusive strategies in the classroom (and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department) by having an open and welcoming attitude with students. Acknowledge that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you, the instructor, will need to go beyond “doing what worked last time” in a class to add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inclusive teaching practices. Be aware of</w:t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1" w:history="1">
          <w:r>
            <w:rPr>
              <w:rStyle w:val="Hyperlink"/>
            </w:rPr>
            <w:t>trauma</w:t>
          </w:r>
        </w:hyperlink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and</w:t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2" w:history="1">
          <w:r>
            <w:rPr>
              <w:rStyle w:val="Hyperlink"/>
            </w:rPr>
            <w:t>poverty</w:t>
          </w:r>
        </w:hyperlink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informed pedagogy and be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ready to refer students to the resources available on and off campus to assist students.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Interrogate your content for bias, colonialism, and racism. Include the intersection of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science and society, particularly environmental justice in class content (see section 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</w:tblGrid>
      <w:tr>
        <w:trPr>
          <w:trHeight w:hRule="exact" w:val="29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Use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good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course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design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principles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by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aligning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your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course (e.g.</w:t>
            </w:r>
            <w:r>
              <w:rPr>
                <w:rFonts w:ascii="Arial" w:hAnsi="Arial" w:eastAsia="Arial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1154CC"/>
                <w:sz w:val="22"/>
                <w:u w:val="single"/>
              </w:rPr>
              <w:hyperlink r:id="rId13" w:history="1">
                <w:r>
                  <w:rPr>
                    <w:rStyle w:val="Hyperlink"/>
                  </w:rPr>
                  <w:t>CEI’s aims,</w:t>
                </w:r>
              </w:hyperlink>
            </w:r>
          </w:p>
        </w:tc>
      </w:tr>
    </w:tbl>
    <w:p>
      <w:pPr>
        <w:autoSpaceDN w:val="0"/>
        <w:tabs>
          <w:tab w:pos="2520" w:val="left"/>
          <w:tab w:pos="2880" w:val="left"/>
        </w:tabs>
        <w:autoSpaceDE w:val="0"/>
        <w:widowControl/>
        <w:spacing w:line="269" w:lineRule="auto" w:before="22" w:after="0"/>
        <w:ind w:left="2160" w:right="1440" w:firstLine="0"/>
        <w:jc w:val="left"/>
      </w:pP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3" w:history="1">
          <w:r>
            <w:rPr>
              <w:rStyle w:val="Hyperlink"/>
            </w:rPr>
            <w:t>assessments, activities, atmosphere</w:t>
          </w:r>
        </w:hyperlink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):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Academically: create clear, well crafted learning objectives (aims) (both for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content mastery and skills mastery) for your course, make sure all classroom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activities and assessments (exams, assignment, projects ect.) align with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learning objectives and scaffold big projects over the semester. Utilize the</w:t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0" w:history="1">
          <w:r>
            <w:rPr>
              <w:rStyle w:val="Hyperlink"/>
            </w:rPr>
            <w:t xml:space="preserve">CEI </w:t>
          </w:r>
        </w:hyperlink>
      </w:r>
      <w:r>
        <w:tab/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0" w:history="1">
          <w:r>
            <w:rPr>
              <w:rStyle w:val="Hyperlink"/>
            </w:rPr>
            <w:t>consultations</w:t>
          </w:r>
        </w:hyperlink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for help designing and implementing these changes.</w:t>
      </w:r>
    </w:p>
    <w:p>
      <w:pPr>
        <w:autoSpaceDN w:val="0"/>
        <w:autoSpaceDE w:val="0"/>
        <w:widowControl/>
        <w:spacing w:line="233" w:lineRule="auto" w:before="46" w:after="0"/>
        <w:ind w:left="25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Pedagogically/Inclusively (atmosphere): incorporate diversity in your learning </w:t>
      </w:r>
      <w:r>
        <w:rPr>
          <w:rFonts w:ascii="Arial" w:hAnsi="Arial" w:eastAsia="Arial"/>
          <w:b w:val="0"/>
          <w:i w:val="0"/>
          <w:color w:val="000000"/>
          <w:sz w:val="22"/>
        </w:rPr>
        <w:t>b.</w:t>
      </w:r>
    </w:p>
    <w:p>
      <w:pPr>
        <w:autoSpaceDN w:val="0"/>
        <w:tabs>
          <w:tab w:pos="2160" w:val="left"/>
          <w:tab w:pos="2520" w:val="left"/>
          <w:tab w:pos="2880" w:val="left"/>
        </w:tabs>
        <w:autoSpaceDE w:val="0"/>
        <w:widowControl/>
        <w:spacing w:line="271" w:lineRule="auto" w:before="44" w:after="0"/>
        <w:ind w:left="1800" w:right="1440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objectives, make</w:t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4" w:history="1">
          <w:r>
            <w:rPr>
              <w:rStyle w:val="Hyperlink"/>
            </w:rPr>
            <w:t>an inclusive classroom environment</w:t>
          </w:r>
        </w:hyperlink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and incorporate content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that includes diverse perspectives and have options for diverse assessments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Have a high quality syllabus that is</w:t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5" w:history="1">
          <w:r>
            <w:rPr>
              <w:rStyle w:val="Hyperlink"/>
            </w:rPr>
            <w:t>inclusive</w:t>
          </w:r>
        </w:hyperlink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, sets clear expectations, set an example of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tone/atmosphere for the class and meets all UMN requirements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Examples of good practices are: Use a personal tone with first person pronouns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address the students (e.g. “you”) directly, include the required disability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statements and have a personal diversity statement that reflects your personal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progress with diversity and inclusivity and how you will value diversity in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class.</w:t>
      </w:r>
    </w:p>
    <w:p>
      <w:pPr>
        <w:autoSpaceDN w:val="0"/>
        <w:tabs>
          <w:tab w:pos="2160" w:val="left"/>
        </w:tabs>
        <w:autoSpaceDE w:val="0"/>
        <w:widowControl/>
        <w:spacing w:line="264" w:lineRule="auto" w:before="46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Accept all students for who they are and their lived experiences and interests at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intersection of science and community (local and global). Provide space for students to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exhibit their lived knowledge into their classroom work (DOI: 10.1002/tia2.20071). (also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related to section 1)</w:t>
      </w:r>
    </w:p>
    <w:p>
      <w:pPr>
        <w:autoSpaceDN w:val="0"/>
        <w:autoSpaceDE w:val="0"/>
        <w:widowControl/>
        <w:spacing w:line="233" w:lineRule="auto" w:before="58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>4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6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6120"/>
        <w:gridCol w:w="6120"/>
      </w:tblGrid>
      <w:tr>
        <w:trPr>
          <w:trHeight w:hRule="exact" w:val="364"/>
        </w:trPr>
        <w:tc>
          <w:tcPr>
            <w:tcW w:type="dxa" w:w="6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7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Student Response Letter</w:t>
            </w:r>
          </w:p>
        </w:tc>
        <w:tc>
          <w:tcPr>
            <w:tcW w:type="dxa" w:w="4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72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Jan. 2021</w:t>
            </w:r>
          </w:p>
        </w:tc>
      </w:tr>
    </w:tbl>
    <w:p>
      <w:pPr>
        <w:autoSpaceDN w:val="0"/>
        <w:autoSpaceDE w:val="0"/>
        <w:widowControl/>
        <w:spacing w:line="271" w:lineRule="auto" w:before="706" w:after="0"/>
        <w:ind w:left="1440" w:right="1442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>Since outlining the above practices, the</w:t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6" w:history="1">
          <w:r>
            <w:rPr>
              <w:rStyle w:val="Hyperlink"/>
            </w:rPr>
            <w:t xml:space="preserve">2020 Higher Learning Commission, Annual Progress </w:t>
          </w:r>
        </w:hyperlink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6" w:history="1">
          <w:r>
            <w:rPr>
              <w:rStyle w:val="Hyperlink"/>
            </w:rPr>
            <w:t>Reports (APR)</w:t>
          </w:r>
        </w:hyperlink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for our department was sent out and Section II of the APR outlines some specific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actions that are very similar to or would help implement the above practices we suggest as </w:t>
      </w:r>
      <w:r>
        <w:rPr>
          <w:rFonts w:ascii="Arial" w:hAnsi="Arial" w:eastAsia="Arial"/>
          <w:b w:val="0"/>
          <w:i w:val="0"/>
          <w:color w:val="000000"/>
          <w:sz w:val="22"/>
        </w:rPr>
        <w:t>ESCI students. The actions listed in the APR are from a broader</w:t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7" w:history="1">
          <w:r>
            <w:rPr>
              <w:rStyle w:val="Hyperlink"/>
            </w:rPr>
            <w:t>student survey</w:t>
          </w:r>
        </w:hyperlink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that </w:t>
      </w:r>
      <w:r>
        <w:rPr>
          <w:rFonts w:ascii="Arial" w:hAnsi="Arial" w:eastAsia="Arial"/>
          <w:b w:val="0"/>
          <w:i w:val="0"/>
          <w:color w:val="000000"/>
          <w:sz w:val="22"/>
        </w:rPr>
        <w:t>summarizes what was effective for online learning last semester. We affirm the report statement: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“it is worth listening carefully to [the APR] recommendations for short- and long-term remote </w:t>
      </w:r>
      <w:r>
        <w:rPr>
          <w:rFonts w:ascii="Arial" w:hAnsi="Arial" w:eastAsia="Arial"/>
          <w:b w:val="0"/>
          <w:i w:val="0"/>
          <w:color w:val="000000"/>
          <w:sz w:val="22"/>
        </w:rPr>
        <w:t>learning and perhaps adopting them as guidelines for instruction within our department.”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Additionally, we provide the above practices, listed actions below, and links in this section as </w:t>
      </w:r>
      <w:r>
        <w:rPr>
          <w:rFonts w:ascii="Arial" w:hAnsi="Arial" w:eastAsia="Arial"/>
          <w:b w:val="0"/>
          <w:i w:val="0"/>
          <w:color w:val="000000"/>
          <w:sz w:val="22"/>
        </w:rPr>
        <w:t>resources for all instructors to utilize.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274" w:lineRule="auto" w:before="336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While some of these suggestions from ESCI students and Section IIB of the APR will require a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more systematic (and time intensive) interrogation of course content and teaching strategies,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many actions can be implemented this semester, and are particularly important to enact while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teaching online. Progress can be made if instructors commit to trying at least a few of the </w:t>
      </w:r>
      <w:r>
        <w:rPr>
          <w:rFonts w:ascii="Arial" w:hAnsi="Arial" w:eastAsia="Arial"/>
          <w:b w:val="0"/>
          <w:i w:val="0"/>
          <w:color w:val="000000"/>
          <w:sz w:val="22"/>
        </w:rPr>
        <w:t>following for Spring 2021 (also see the APR section IIA):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Acknowledge that we are still in an extraordinary, difficult situation and establish a spirit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of empathy and collective learning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Be an approachable, helpful, empathetic instructor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Prioritize</w:t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8" w:history="1">
          <w:r>
            <w:rPr>
              <w:rStyle w:val="Hyperlink"/>
            </w:rPr>
            <w:t>student learning over covering content</w:t>
          </w:r>
        </w:hyperlink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by focusing on the core ideas of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class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19" w:history="1">
          <w:r>
            <w:rPr>
              <w:rStyle w:val="Hyperlink"/>
            </w:rPr>
            <w:t>Ask for student feedback</w:t>
          </w:r>
        </w:hyperlink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(early and mid semester) and then communicate with students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about how you will act on their feedback and why you cannot if you cannot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Add in flexibility for all students in some deadlines, attendance, assessments (e.g. drop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one assignment per semester) ect. without asking for any documentation/verification or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reasoning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Provide resources for students to learn the material and predictive for an exam. (e.g.</w:t>
      </w:r>
    </w:p>
    <w:p>
      <w:pPr>
        <w:autoSpaceDN w:val="0"/>
        <w:tabs>
          <w:tab w:pos="2160" w:val="left"/>
        </w:tabs>
        <w:autoSpaceDE w:val="0"/>
        <w:widowControl/>
        <w:spacing w:line="269" w:lineRule="auto" w:before="44" w:after="22"/>
        <w:ind w:left="1800" w:right="1440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practice problems with solved answers, study guides, learning aids like e-flash card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decks, practice exams, review sessions, working through problems in class)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Include rubrics for assessments that are clear, concise and that align with the learning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objectives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Be aware of and</w:t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20" w:history="1">
          <w:r>
            <w:rPr>
              <w:rStyle w:val="Hyperlink"/>
            </w:rPr>
            <w:t>avoid cognitive overload of students</w:t>
          </w:r>
        </w:hyperlink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(amplify essential content,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communicate consciously, use active learning, allow collaboration among students)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</w:tblGrid>
      <w:tr>
        <w:trPr>
          <w:trHeight w:hRule="exact" w:val="29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10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Increase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accessibility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by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using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both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visuals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(diagrams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and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charts) and verbal</w:t>
            </w:r>
          </w:p>
        </w:tc>
      </w:tr>
    </w:tbl>
    <w:p>
      <w:pPr>
        <w:autoSpaceDN w:val="0"/>
        <w:autoSpaceDE w:val="0"/>
        <w:widowControl/>
        <w:spacing w:line="254" w:lineRule="auto" w:before="22" w:after="0"/>
        <w:ind w:left="216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descriptions including “thinking out loud” through a worked problem and descriptions of </w:t>
      </w:r>
      <w:r>
        <w:rPr>
          <w:rFonts w:ascii="Arial" w:hAnsi="Arial" w:eastAsia="Arial"/>
          <w:b w:val="0"/>
          <w:i w:val="0"/>
          <w:color w:val="000000"/>
          <w:sz w:val="22"/>
        </w:rPr>
        <w:t>the images, charts and graphs.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44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Address current events with your class and acknowledge how events may be affecting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student stress and productivity.</w:t>
      </w:r>
    </w:p>
    <w:p>
      <w:pPr>
        <w:autoSpaceDN w:val="0"/>
        <w:tabs>
          <w:tab w:pos="2160" w:val="left"/>
        </w:tabs>
        <w:autoSpaceDE w:val="0"/>
        <w:widowControl/>
        <w:spacing w:line="269" w:lineRule="auto" w:before="44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Plan to be flexible with the class schedule, content and assessments to accommodate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and reduce student stress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Incorporate informal icebreakers and conversational check-ins the first few minutes of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class to build a community and familiarity among students and instructors. Consider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adding breakout rooms, doing example problems solved as a group with annotations, or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quick polls within class time to encourage participation online.</w:t>
      </w:r>
    </w:p>
    <w:p>
      <w:pPr>
        <w:autoSpaceDN w:val="0"/>
        <w:autoSpaceDE w:val="0"/>
        <w:widowControl/>
        <w:spacing w:line="233" w:lineRule="auto" w:before="634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>5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6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6120"/>
        <w:gridCol w:w="6120"/>
      </w:tblGrid>
      <w:tr>
        <w:trPr>
          <w:trHeight w:hRule="exact" w:val="364"/>
        </w:trPr>
        <w:tc>
          <w:tcPr>
            <w:tcW w:type="dxa" w:w="6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7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Student Response Letter</w:t>
            </w:r>
          </w:p>
        </w:tc>
        <w:tc>
          <w:tcPr>
            <w:tcW w:type="dxa" w:w="4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72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Jan. 2021</w:t>
            </w:r>
          </w:p>
        </w:tc>
      </w:tr>
    </w:tbl>
    <w:p>
      <w:pPr>
        <w:autoSpaceDN w:val="0"/>
        <w:autoSpaceDE w:val="0"/>
        <w:widowControl/>
        <w:spacing w:line="266" w:lineRule="auto" w:before="706" w:after="0"/>
        <w:ind w:left="1440" w:right="1440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While these actions and responsibilities apply to individual classes and instructors, we, as a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department community, can support students by continuing to attend seminars/retreats in order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to learn how to implement inclusive teaching practices, incorporate Native perspectives and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environmental justice content into classes, and discuss the development of inclusive field </w:t>
      </w:r>
      <w:r>
        <w:rPr>
          <w:rFonts w:ascii="Arial" w:hAnsi="Arial" w:eastAsia="Arial"/>
          <w:b w:val="0"/>
          <w:i w:val="0"/>
          <w:color w:val="000000"/>
          <w:sz w:val="22"/>
        </w:rPr>
        <w:t>courses.</w:t>
      </w:r>
    </w:p>
    <w:p>
      <w:pPr>
        <w:autoSpaceDN w:val="0"/>
        <w:autoSpaceDE w:val="0"/>
        <w:widowControl/>
        <w:spacing w:line="233" w:lineRule="auto" w:before="11688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>6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tabs>
          <w:tab w:pos="9788" w:val="left"/>
        </w:tabs>
        <w:autoSpaceDE w:val="0"/>
        <w:widowControl/>
        <w:spacing w:line="230" w:lineRule="auto" w:before="72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Student Response Letter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Jan. 2021</w:t>
      </w:r>
    </w:p>
    <w:p>
      <w:pPr>
        <w:autoSpaceDN w:val="0"/>
        <w:tabs>
          <w:tab w:pos="9900" w:val="left"/>
        </w:tabs>
        <w:autoSpaceDE w:val="0"/>
        <w:widowControl/>
        <w:spacing w:line="274" w:lineRule="auto" w:before="476" w:after="0"/>
        <w:ind w:left="1440" w:right="1440" w:firstLine="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 xml:space="preserve">3. Departmental Field Experiences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We would first like to acknowledge the hard work of the Undergraduate Studies Committee and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Field Committee to provide innovative field-based experiential learning to students.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Experiential learning is an extremely important part of geoscience curriculum, and field courses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have historically been an opportunity for students to experience geologic concepts "in their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natural habitat" and bring the equations and theory they have learned in the classroom to life in </w:t>
      </w:r>
      <w:r>
        <w:rPr>
          <w:rFonts w:ascii="Arial" w:hAnsi="Arial" w:eastAsia="Arial"/>
          <w:b w:val="0"/>
          <w:i w:val="0"/>
          <w:color w:val="000000"/>
          <w:sz w:val="22"/>
        </w:rPr>
        <w:t>the field.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While field courses are effective at providing these experiences for many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students, the physical requirements, location, and environment of the currently offered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field courses create fundamental inequities that directly contribute to the lack of diversity </w:t>
      </w:r>
      <w:r>
        <w:rPr>
          <w:rFonts w:ascii="Arial" w:hAnsi="Arial" w:eastAsia="Arial"/>
          <w:b/>
          <w:i w:val="0"/>
          <w:color w:val="000000"/>
          <w:sz w:val="22"/>
        </w:rPr>
        <w:t>in the geosciences.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We feel strongly that it is essential to address these inequities, and hope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that this can be the beginning of many discussions on these topics so we can move towards our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mutual goal of providing valuable experiential learning opportunities to all students in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Department. We therefore divide our thoughts on field experiences into two parts.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The first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part is "immediate" goals that we would like to work towards meeting within the Spring </w:t>
      </w:r>
      <w:r>
        <w:rPr>
          <w:rFonts w:ascii="Arial" w:hAnsi="Arial" w:eastAsia="Arial"/>
          <w:b/>
          <w:i w:val="0"/>
          <w:color w:val="000000"/>
          <w:sz w:val="22"/>
        </w:rPr>
        <w:t>semester so that they can impact the upcoming Summer 2021 Field courses.</w:t>
      </w:r>
    </w:p>
    <w:p>
      <w:pPr>
        <w:autoSpaceDN w:val="0"/>
        <w:autoSpaceDE w:val="0"/>
        <w:widowControl/>
        <w:spacing w:line="266" w:lineRule="auto" w:before="336" w:after="0"/>
        <w:ind w:left="1440" w:right="1444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We propose directly linking to the summer field course page on the website to the major/minor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page on the website. We recognize (and appreciate!) the work that is ongoing in the Field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Committee to address many of these topics and hope that these suggestions can provide </w:t>
      </w:r>
      <w:r>
        <w:rPr>
          <w:rFonts w:ascii="Arial" w:hAnsi="Arial" w:eastAsia="Arial"/>
          <w:b w:val="0"/>
          <w:i w:val="0"/>
          <w:color w:val="000000"/>
          <w:sz w:val="22"/>
        </w:rPr>
        <w:t>additional ideas and guidance. This page is currently undergoing revision, and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we recommend </w:t>
      </w:r>
      <w:r>
        <w:rPr>
          <w:rFonts w:ascii="Arial" w:hAnsi="Arial" w:eastAsia="Arial"/>
          <w:b/>
          <w:i w:val="0"/>
          <w:color w:val="000000"/>
          <w:sz w:val="22"/>
        </w:rPr>
        <w:t>it include the following information:</w:t>
      </w:r>
    </w:p>
    <w:p>
      <w:pPr>
        <w:autoSpaceDN w:val="0"/>
        <w:tabs>
          <w:tab w:pos="2160" w:val="left"/>
          <w:tab w:pos="2520" w:val="left"/>
          <w:tab w:pos="2880" w:val="left"/>
        </w:tabs>
        <w:autoSpaceDE w:val="0"/>
        <w:widowControl/>
        <w:spacing w:line="254" w:lineRule="auto" w:before="286" w:after="0"/>
        <w:ind w:left="1800" w:right="288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Learning objectives for each course, including: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Summary of skills that will be mastered by the end of each course.</w:t>
      </w:r>
    </w:p>
    <w:p>
      <w:pPr>
        <w:autoSpaceDN w:val="0"/>
        <w:tabs>
          <w:tab w:pos="2880" w:val="left"/>
        </w:tabs>
        <w:autoSpaceDE w:val="0"/>
        <w:widowControl/>
        <w:spacing w:line="254" w:lineRule="auto" w:before="46" w:after="0"/>
        <w:ind w:left="252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Recommended courses to be completed or skills to be mastered</w:t>
      </w:r>
      <w:r>
        <w:rPr>
          <w:rFonts w:ascii="Arial" w:hAnsi="Arial" w:eastAsia="Arial"/>
          <w:b w:val="0"/>
          <w:i/>
          <w:color w:val="000000"/>
          <w:sz w:val="22"/>
        </w:rPr>
        <w:t xml:space="preserve"> before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each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field course.</w:t>
      </w:r>
    </w:p>
    <w:p>
      <w:pPr>
        <w:autoSpaceDN w:val="0"/>
        <w:autoSpaceDE w:val="0"/>
        <w:widowControl/>
        <w:spacing w:line="254" w:lineRule="auto" w:before="46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Explicit description of costs (including "hidden" costs like gear purchases) as well as</w:t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financial aid and scholarship information.</w:t>
      </w:r>
    </w:p>
    <w:p>
      <w:pPr>
        <w:autoSpaceDN w:val="0"/>
        <w:tabs>
          <w:tab w:pos="2880" w:val="left"/>
        </w:tabs>
        <w:autoSpaceDE w:val="0"/>
        <w:widowControl/>
        <w:spacing w:line="230" w:lineRule="auto" w:before="46" w:after="0"/>
        <w:ind w:left="25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Link to gear list being collated by undergrad Geoclub members.</w:t>
      </w:r>
    </w:p>
    <w:p>
      <w:pPr>
        <w:autoSpaceDN w:val="0"/>
        <w:tabs>
          <w:tab w:pos="2880" w:val="left"/>
        </w:tabs>
        <w:autoSpaceDE w:val="0"/>
        <w:widowControl/>
        <w:spacing w:line="233" w:lineRule="auto" w:before="46" w:after="0"/>
        <w:ind w:left="25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Link to scholarship information elsewhere on Department website.</w:t>
      </w:r>
    </w:p>
    <w:p>
      <w:pPr>
        <w:autoSpaceDN w:val="0"/>
        <w:tabs>
          <w:tab w:pos="2880" w:val="left"/>
        </w:tabs>
        <w:autoSpaceDE w:val="0"/>
        <w:widowControl/>
        <w:spacing w:line="254" w:lineRule="auto" w:before="44" w:after="0"/>
        <w:ind w:left="252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Link to gear rental and purchase opportunities through the University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Department.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44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physical requirements and training recommendations (e.g. weight of gear carried,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distance hiked, altitude) required for a successful experience.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44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Provide resources for students to gain outdoor experiences and confidence prior to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start of the course.</w:t>
      </w:r>
    </w:p>
    <w:p>
      <w:pPr>
        <w:autoSpaceDN w:val="0"/>
        <w:tabs>
          <w:tab w:pos="2880" w:val="left"/>
        </w:tabs>
        <w:autoSpaceDE w:val="0"/>
        <w:widowControl/>
        <w:spacing w:line="254" w:lineRule="auto" w:before="44" w:after="0"/>
        <w:ind w:left="2520" w:right="4032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Trips and clinics offered by UMN Outdoor Center.</w:t>
      </w: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Link to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21" w:history="1">
          <w:r>
            <w:rPr>
              <w:rStyle w:val="Hyperlink"/>
            </w:rPr>
            <w:t xml:space="preserve"> REI intro camping resources</w:t>
          </w:r>
        </w:hyperlink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or other sources.</w:t>
      </w:r>
    </w:p>
    <w:p>
      <w:pPr>
        <w:autoSpaceDN w:val="0"/>
        <w:tabs>
          <w:tab w:pos="2160" w:val="left"/>
          <w:tab w:pos="2520" w:val="left"/>
          <w:tab w:pos="2880" w:val="left"/>
          <w:tab w:pos="3220" w:val="left"/>
          <w:tab w:pos="4256" w:val="left"/>
          <w:tab w:pos="4620" w:val="left"/>
          <w:tab w:pos="5108" w:val="left"/>
          <w:tab w:pos="5986" w:val="left"/>
          <w:tab w:pos="6532" w:val="left"/>
          <w:tab w:pos="7422" w:val="left"/>
          <w:tab w:pos="7788" w:val="left"/>
        </w:tabs>
        <w:autoSpaceDE w:val="0"/>
        <w:widowControl/>
        <w:spacing w:line="266" w:lineRule="auto" w:before="44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Specific information about the housing and dining provided during each course,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including: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Explicit description of the process of grouping students for housing purposes that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sensitive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identity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desires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transgender, non-binary,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genderqueer students.</w:t>
      </w:r>
    </w:p>
    <w:p>
      <w:pPr>
        <w:autoSpaceDN w:val="0"/>
        <w:tabs>
          <w:tab w:pos="2880" w:val="left"/>
        </w:tabs>
        <w:autoSpaceDE w:val="0"/>
        <w:widowControl/>
        <w:spacing w:line="233" w:lineRule="auto" w:before="44" w:after="0"/>
        <w:ind w:left="25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Explicit description of accommodations made for dietary restrictions.</w:t>
      </w:r>
    </w:p>
    <w:p>
      <w:pPr>
        <w:autoSpaceDN w:val="0"/>
        <w:autoSpaceDE w:val="0"/>
        <w:widowControl/>
        <w:spacing w:line="233" w:lineRule="auto" w:before="632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>7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6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</w:tblGrid>
      <w:tr>
        <w:trPr>
          <w:trHeight w:hRule="exact" w:val="532"/>
        </w:trPr>
        <w:tc>
          <w:tcPr>
            <w:tcW w:type="dxa" w:w="42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7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Student Response Letter</w:t>
            </w:r>
          </w:p>
        </w:tc>
        <w:tc>
          <w:tcPr>
            <w:tcW w:type="dxa" w:w="4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of</w:t>
            </w:r>
          </w:p>
        </w:tc>
        <w:tc>
          <w:tcPr>
            <w:tcW w:type="dxa" w:w="18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accommodations</w:t>
            </w:r>
          </w:p>
        </w:tc>
        <w:tc>
          <w:tcPr>
            <w:tcW w:type="dxa" w:w="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made</w:t>
            </w:r>
          </w:p>
        </w:tc>
        <w:tc>
          <w:tcPr>
            <w:tcW w:type="dxa" w:w="4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for</w:t>
            </w:r>
          </w:p>
        </w:tc>
        <w:tc>
          <w:tcPr>
            <w:tcW w:type="dxa" w:w="10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religious</w:t>
            </w:r>
          </w:p>
        </w:tc>
        <w:tc>
          <w:tcPr>
            <w:tcW w:type="dxa" w:w="1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2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Jan. 2021</w:t>
            </w:r>
          </w:p>
        </w:tc>
      </w:tr>
      <w:tr>
        <w:trPr>
          <w:trHeight w:hRule="exact" w:val="516"/>
        </w:trPr>
        <w:tc>
          <w:tcPr>
            <w:tcW w:type="dxa" w:w="2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8" w:after="0"/>
              <w:ind w:left="0" w:right="10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○</w:t>
            </w:r>
          </w:p>
        </w:tc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Explicit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description</w:t>
            </w:r>
          </w:p>
        </w:tc>
        <w:tc>
          <w:tcPr>
            <w:tcW w:type="dxa" w:w="1224"/>
            <w:vMerge/>
            <w:tcBorders/>
          </w:tcPr>
          <w:p/>
        </w:tc>
        <w:tc>
          <w:tcPr>
            <w:tcW w:type="dxa" w:w="1224"/>
            <w:vMerge/>
            <w:tcBorders/>
          </w:tcPr>
          <w:p/>
        </w:tc>
        <w:tc>
          <w:tcPr>
            <w:tcW w:type="dxa" w:w="1224"/>
            <w:vMerge/>
            <w:tcBorders/>
          </w:tcPr>
          <w:p/>
        </w:tc>
        <w:tc>
          <w:tcPr>
            <w:tcW w:type="dxa" w:w="1224"/>
            <w:vMerge/>
            <w:tcBorders/>
          </w:tcPr>
          <w:p/>
        </w:tc>
        <w:tc>
          <w:tcPr>
            <w:tcW w:type="dxa" w:w="1224"/>
            <w:vMerge/>
            <w:tcBorders/>
          </w:tcPr>
          <w:p/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or</w:t>
            </w:r>
          </w:p>
        </w:tc>
        <w:tc>
          <w:tcPr>
            <w:tcW w:type="dxa" w:w="1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8" w:after="0"/>
              <w:ind w:left="1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cultural</w:t>
            </w:r>
          </w:p>
        </w:tc>
      </w:tr>
    </w:tbl>
    <w:p>
      <w:pPr>
        <w:autoSpaceDN w:val="0"/>
        <w:autoSpaceDE w:val="0"/>
        <w:widowControl/>
        <w:spacing w:line="233" w:lineRule="auto" w:before="22" w:after="0"/>
        <w:ind w:left="288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observances.</w:t>
      </w:r>
    </w:p>
    <w:p>
      <w:pPr>
        <w:autoSpaceDN w:val="0"/>
        <w:tabs>
          <w:tab w:pos="2160" w:val="left"/>
        </w:tabs>
        <w:autoSpaceDE w:val="0"/>
        <w:widowControl/>
        <w:spacing w:line="262" w:lineRule="auto" w:before="46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 statement that acknowledges the risk of identity prejudice against certain individuals in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fieldwork setting, and explicit description of the procedures by which these incidents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can be reported and will be dealt with.</w:t>
      </w:r>
    </w:p>
    <w:p>
      <w:pPr>
        <w:autoSpaceDN w:val="0"/>
        <w:tabs>
          <w:tab w:pos="2880" w:val="left"/>
        </w:tabs>
        <w:autoSpaceDE w:val="0"/>
        <w:widowControl/>
        <w:spacing w:line="233" w:lineRule="auto" w:before="46" w:after="0"/>
        <w:ind w:left="25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Link to the Department Field Code of Conduct.</w:t>
      </w:r>
    </w:p>
    <w:p>
      <w:pPr>
        <w:autoSpaceDN w:val="0"/>
        <w:autoSpaceDE w:val="0"/>
        <w:widowControl/>
        <w:spacing w:line="254" w:lineRule="auto" w:before="44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Description of the formalized process for requesting to participate in an alternate</w:t>
      </w:r>
      <w:r>
        <w:rPr>
          <w:rFonts w:ascii="Arial" w:hAnsi="Arial" w:eastAsia="Arial"/>
          <w:b w:val="0"/>
          <w:i w:val="0"/>
          <w:color w:val="000000"/>
          <w:sz w:val="22"/>
        </w:rPr>
        <w:t>●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program.</w:t>
      </w:r>
    </w:p>
    <w:p>
      <w:pPr>
        <w:autoSpaceDN w:val="0"/>
        <w:tabs>
          <w:tab w:pos="2880" w:val="left"/>
        </w:tabs>
        <w:autoSpaceDE w:val="0"/>
        <w:widowControl/>
        <w:spacing w:line="233" w:lineRule="auto" w:before="44" w:after="0"/>
        <w:ind w:left="25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Deadline for submitting a course for approval.</w:t>
      </w:r>
    </w:p>
    <w:p>
      <w:pPr>
        <w:autoSpaceDN w:val="0"/>
        <w:tabs>
          <w:tab w:pos="2880" w:val="left"/>
        </w:tabs>
        <w:autoSpaceDE w:val="0"/>
        <w:widowControl/>
        <w:spacing w:line="254" w:lineRule="auto" w:before="46" w:after="0"/>
        <w:ind w:left="252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State general requirements of the alternative program with respect to length,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rigor, and material covered.</w:t>
      </w:r>
    </w:p>
    <w:p>
      <w:pPr>
        <w:autoSpaceDN w:val="0"/>
        <w:autoSpaceDE w:val="0"/>
        <w:widowControl/>
        <w:spacing w:line="254" w:lineRule="auto" w:before="46" w:after="0"/>
        <w:ind w:left="252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List alternative projects or programs for students who were unable to participate</w:t>
      </w:r>
      <w:r>
        <w:rPr>
          <w:rFonts w:ascii="Arial" w:hAnsi="Arial" w:eastAsia="Arial"/>
          <w:b w:val="0"/>
          <w:i w:val="0"/>
          <w:color w:val="000000"/>
          <w:sz w:val="22"/>
        </w:rPr>
        <w:t>○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in the residential field course(s) currently offered.</w:t>
      </w:r>
    </w:p>
    <w:p>
      <w:pPr>
        <w:autoSpaceDN w:val="0"/>
        <w:autoSpaceDE w:val="0"/>
        <w:widowControl/>
        <w:spacing w:line="264" w:lineRule="auto" w:before="286" w:after="22"/>
        <w:ind w:left="1440" w:right="1446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We feel that publicizing and sharing this information with undergraduates would improve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preparedness of students entering the Department and help demystify the "field experience."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Explicitly stating the learning goals of each field course will streamline approval of alternative </w:t>
      </w:r>
      <w:r>
        <w:rPr>
          <w:rFonts w:ascii="Arial" w:hAnsi="Arial" w:eastAsia="Arial"/>
          <w:b w:val="0"/>
          <w:i w:val="0"/>
          <w:color w:val="000000"/>
          <w:sz w:val="22"/>
        </w:rPr>
        <w:t>courses and provide guidance for students who need to request an alternate project.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We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</w:tblGrid>
      <w:tr>
        <w:trPr>
          <w:trHeight w:hRule="exact" w:val="29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8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request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that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the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Field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Committee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familiarize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themselves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with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the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0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strategies for</w:t>
            </w:r>
          </w:p>
        </w:tc>
      </w:tr>
    </w:tbl>
    <w:p>
      <w:pPr>
        <w:autoSpaceDN w:val="0"/>
        <w:autoSpaceDE w:val="0"/>
        <w:widowControl/>
        <w:spacing w:line="264" w:lineRule="auto" w:before="24" w:after="0"/>
        <w:ind w:left="1440" w:right="1446" w:firstLine="0"/>
        <w:jc w:val="both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minimizing risk during fieldwork set forth in Demery and Pipkin (2021) and implement </w:t>
      </w:r>
      <w:r>
        <w:rPr>
          <w:rFonts w:ascii="Arial" w:hAnsi="Arial" w:eastAsia="Arial"/>
          <w:b/>
          <w:i w:val="0"/>
          <w:color w:val="000000"/>
          <w:sz w:val="22"/>
        </w:rPr>
        <w:t>these strategies within each field course’s design.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(Demery, AJ.C., Pipkin, M.A. Safe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fieldwork strategies for at-risk individuals, their supervisors and institutions. Nat Ecol Evol 5, 5–9 </w:t>
      </w:r>
      <w:r>
        <w:rPr>
          <w:rFonts w:ascii="Arial" w:hAnsi="Arial" w:eastAsia="Arial"/>
          <w:b w:val="0"/>
          <w:i w:val="0"/>
          <w:color w:val="000000"/>
          <w:sz w:val="22"/>
        </w:rPr>
        <w:t>(2021).</w:t>
      </w:r>
      <w:r>
        <w:rPr>
          <w:rFonts w:ascii="Arial" w:hAnsi="Arial" w:eastAsia="Arial"/>
          <w:b w:val="0"/>
          <w:i w:val="0"/>
          <w:color w:val="1154CC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22"/>
          <w:u w:val="single"/>
        </w:rPr>
        <w:hyperlink r:id="rId22" w:history="1">
          <w:r>
            <w:rPr>
              <w:rStyle w:val="Hyperlink"/>
            </w:rPr>
            <w:t>https://doi.org/10.1038/s41559-020-01328-5</w:t>
          </w:r>
        </w:hyperlink>
      </w:r>
      <w:r>
        <w:rPr>
          <w:rFonts w:ascii="Arial" w:hAnsi="Arial" w:eastAsia="Arial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69" w:lineRule="auto" w:before="336" w:after="0"/>
        <w:ind w:left="1440" w:right="1444" w:firstLine="0"/>
        <w:jc w:val="both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We request the Field and Undergraduate Studies Committees create a procedure for </w:t>
      </w:r>
      <w:r>
        <w:rPr>
          <w:rFonts w:ascii="Arial" w:hAnsi="Arial" w:eastAsia="Arial"/>
          <w:b/>
          <w:i w:val="0"/>
          <w:color w:val="000000"/>
          <w:sz w:val="22"/>
        </w:rPr>
        <w:t>resolving an "incomplete" field course.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These alternatives, communicated to students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ahead-of-time, help provide reassurance to students who may become injured or have a family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emergency (for example), and create less burden on the field course instructors and TAs who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would otherwise have to develop these procedures on their own. We request that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Department create a fund to assist students with unforeseen costs when they leave field </w:t>
      </w:r>
      <w:r>
        <w:rPr>
          <w:rFonts w:ascii="Arial" w:hAnsi="Arial" w:eastAsia="Arial"/>
          <w:b w:val="0"/>
          <w:i w:val="0"/>
          <w:color w:val="000000"/>
          <w:sz w:val="22"/>
        </w:rPr>
        <w:t>courses due to the above described or other emergencies.</w:t>
      </w:r>
    </w:p>
    <w:p>
      <w:pPr>
        <w:autoSpaceDN w:val="0"/>
        <w:autoSpaceDE w:val="0"/>
        <w:widowControl/>
        <w:spacing w:line="271" w:lineRule="auto" w:before="336" w:after="22"/>
        <w:ind w:left="1440" w:right="1440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We are disappointed in the response from the Department with respect to the creation of a "gear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closet" that would provide gear for field trips, field courses, or research. We do not feel that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general support for this idea with vague provisos for someone coming up with a "stable plan" is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 adequate response. We therefore propose that the oversight of the gear closet be made a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graduate student job. This job would be structured similarly to how the Outreach Coordinator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Student Symposium jobs are allocated, with overlapping two-year commitments for two to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four graduate students that creates continuity within this position. We appreciate and are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encouraged by the DEI Committee’s work with Columbia to develop a pro-deal for purchasing </w:t>
      </w:r>
      <w:r>
        <w:rPr>
          <w:rFonts w:ascii="Arial" w:hAnsi="Arial" w:eastAsia="Arial"/>
          <w:b w:val="0"/>
          <w:i w:val="0"/>
          <w:color w:val="000000"/>
          <w:sz w:val="22"/>
        </w:rPr>
        <w:t>discounted gear as well as communication to students about the opportunity to purchase or rent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360"/>
        <w:gridCol w:w="1360"/>
        <w:gridCol w:w="1360"/>
        <w:gridCol w:w="1360"/>
        <w:gridCol w:w="1360"/>
        <w:gridCol w:w="1360"/>
        <w:gridCol w:w="1360"/>
        <w:gridCol w:w="1360"/>
        <w:gridCol w:w="1360"/>
      </w:tblGrid>
      <w:tr>
        <w:trPr>
          <w:trHeight w:hRule="exact" w:val="29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8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gear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through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the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UMN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Outdoor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Center.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We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request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that information about these</w:t>
            </w:r>
          </w:p>
        </w:tc>
      </w:tr>
    </w:tbl>
    <w:p>
      <w:pPr>
        <w:autoSpaceDN w:val="0"/>
        <w:autoSpaceDE w:val="0"/>
        <w:widowControl/>
        <w:spacing w:line="254" w:lineRule="auto" w:before="24" w:after="0"/>
        <w:ind w:left="1440" w:right="144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opportunities be prominently posted within the Department and on the website, and </w:t>
      </w:r>
      <w:r>
        <w:rPr>
          <w:rFonts w:ascii="Arial" w:hAnsi="Arial" w:eastAsia="Arial"/>
          <w:b/>
          <w:i w:val="0"/>
          <w:color w:val="000000"/>
          <w:sz w:val="22"/>
        </w:rPr>
        <w:t>regularly advertised to students participating in field experiences.</w:t>
      </w:r>
    </w:p>
    <w:p>
      <w:pPr>
        <w:autoSpaceDN w:val="0"/>
        <w:autoSpaceDE w:val="0"/>
        <w:widowControl/>
        <w:spacing w:line="233" w:lineRule="auto" w:before="684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>8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6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6120"/>
        <w:gridCol w:w="6120"/>
      </w:tblGrid>
      <w:tr>
        <w:trPr>
          <w:trHeight w:hRule="exact" w:val="364"/>
        </w:trPr>
        <w:tc>
          <w:tcPr>
            <w:tcW w:type="dxa" w:w="6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7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Student Response Letter</w:t>
            </w:r>
          </w:p>
        </w:tc>
        <w:tc>
          <w:tcPr>
            <w:tcW w:type="dxa" w:w="4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72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Jan. 2021</w:t>
            </w:r>
          </w:p>
        </w:tc>
      </w:tr>
    </w:tbl>
    <w:p>
      <w:pPr>
        <w:autoSpaceDN w:val="0"/>
        <w:autoSpaceDE w:val="0"/>
        <w:widowControl/>
        <w:spacing w:line="254" w:lineRule="auto" w:before="706" w:after="22"/>
        <w:ind w:left="1440" w:right="144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As a long-term goal for the Department, we would like the Department to consider the efficacy, </w:t>
      </w:r>
      <w:r>
        <w:rPr>
          <w:rFonts w:ascii="Arial" w:hAnsi="Arial" w:eastAsia="Arial"/>
          <w:b w:val="0"/>
          <w:i w:val="0"/>
          <w:color w:val="000000"/>
          <w:sz w:val="22"/>
        </w:rPr>
        <w:t>accessibility, and equity of exclusively summer-based, residential field courses versus remote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>
        <w:trPr>
          <w:trHeight w:hRule="exact" w:val="29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8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local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alternatives,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and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alternatives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that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occur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over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winter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or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during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the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semester.</w:t>
            </w:r>
          </w:p>
        </w:tc>
      </w:tr>
    </w:tbl>
    <w:p>
      <w:pPr>
        <w:autoSpaceDN w:val="0"/>
        <w:autoSpaceDE w:val="0"/>
        <w:widowControl/>
        <w:spacing w:line="233" w:lineRule="auto" w:before="22" w:after="22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2"/>
        </w:rPr>
        <w:t>Acknowledging the financial and logistical complexities involved, we request that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080"/>
        <w:gridCol w:w="4080"/>
        <w:gridCol w:w="4080"/>
      </w:tblGrid>
      <w:tr>
        <w:trPr>
          <w:trHeight w:hRule="exact" w:val="292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7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Department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prioritise</w:t>
            </w:r>
          </w:p>
        </w:tc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the development of field experiences outside of traditional</w:t>
            </w:r>
          </w:p>
        </w:tc>
      </w:tr>
    </w:tbl>
    <w:p>
      <w:pPr>
        <w:autoSpaceDN w:val="0"/>
        <w:autoSpaceDE w:val="0"/>
        <w:widowControl/>
        <w:spacing w:line="274" w:lineRule="auto" w:before="22" w:after="0"/>
        <w:ind w:left="1440" w:right="1440" w:firstLine="0"/>
        <w:jc w:val="both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residential field courses, such as class or departmental field trips or additional courses.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We are excited to collaborate within the Department to develop field skills course(s), shorter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camping trips offered department-wide, and other opportunities for experiential, field-based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learning. The Urban Field Course currently being developed is an excellent example of the kind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of innovation that we see as an opportunity to expand the participation of all persons in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geosciences. This kind of non-residential, "workday" field course broadens participation by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allowing participants to continue part-time work in the evenings and weekends, care for their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families, and continue to participate in cultural and religious events in their communities. We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request that the department continue to support the development of this course and proactively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seek out the resources and partnerships necessary for it to be successful. The virtual field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courses developed for Summer 2020 are another example of the kind of innovation we are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excited about, and we hope that the Department continues to develop and offer GIS-based,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digital "field" experiences, both in individual courses and as part of the summer field courses.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Finally, we would like the Field Committee to consider allowing undergraduate students to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participate in NSF-funded Research Experiences for Undergraduates (REUs) or other formal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research experiences by creating flexibility in field course scheduling and implementation.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These REUs can be essential experiences for the undergraduates that are interested in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pursuing graduate education in the geosciences, and are frequently designed to provide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structure and mentoring experiences that have been shown to increase the retention and </w:t>
      </w:r>
      <w:r>
        <w:rPr>
          <w:rFonts w:ascii="Arial" w:hAnsi="Arial" w:eastAsia="Arial"/>
          <w:b w:val="0"/>
          <w:i w:val="0"/>
          <w:color w:val="000000"/>
          <w:sz w:val="22"/>
        </w:rPr>
        <w:t>success of geoscience students.</w:t>
      </w:r>
    </w:p>
    <w:p>
      <w:pPr>
        <w:autoSpaceDN w:val="0"/>
        <w:autoSpaceDE w:val="0"/>
        <w:widowControl/>
        <w:spacing w:line="271" w:lineRule="auto" w:before="336" w:after="0"/>
        <w:ind w:left="1440" w:right="1440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We applaud the efforts to make Hydrogeology Field Course accessible for those with physical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mobility disabilities and hope that similar changes can be made to the Introductory and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Advanced Field Courses so that people of all outdoor ability levels and confidence can </w:t>
      </w:r>
      <w:r>
        <w:rPr>
          <w:rFonts w:ascii="Arial" w:hAnsi="Arial" w:eastAsia="Arial"/>
          <w:b w:val="0"/>
          <w:i w:val="0"/>
          <w:color w:val="000000"/>
          <w:sz w:val="22"/>
        </w:rPr>
        <w:t>experience these courses and gain the skills and knowledge taught. Further,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we hope that the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current curricula for these courses can grow to acknowledge the colonialist mindset that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underpins the geosciences and explicitly include Native traditional ecological knowledge </w:t>
      </w:r>
      <w:r>
        <w:rPr>
          <w:rFonts w:ascii="Arial" w:hAnsi="Arial" w:eastAsia="Arial"/>
          <w:b/>
          <w:i w:val="0"/>
          <w:color w:val="000000"/>
          <w:sz w:val="22"/>
        </w:rPr>
        <w:t>systems as part of the coursework, as described in the first section of this letter.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These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innovative learning experiences would place the Department at the forefront of experiential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geoscience pedagogy and are essential for the development of a more diverse, inclusive, and </w:t>
      </w:r>
      <w:r>
        <w:rPr>
          <w:rFonts w:ascii="Arial" w:hAnsi="Arial" w:eastAsia="Arial"/>
          <w:b w:val="0"/>
          <w:i w:val="0"/>
          <w:color w:val="000000"/>
          <w:sz w:val="22"/>
        </w:rPr>
        <w:t>equitable field of science.</w:t>
      </w:r>
    </w:p>
    <w:p>
      <w:pPr>
        <w:autoSpaceDN w:val="0"/>
        <w:autoSpaceDE w:val="0"/>
        <w:widowControl/>
        <w:spacing w:line="233" w:lineRule="auto" w:before="267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>9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tabs>
          <w:tab w:pos="9788" w:val="left"/>
        </w:tabs>
        <w:autoSpaceDE w:val="0"/>
        <w:widowControl/>
        <w:spacing w:line="230" w:lineRule="auto" w:before="72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Student Response Letter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Jan. 2021</w:t>
      </w:r>
    </w:p>
    <w:p>
      <w:pPr>
        <w:autoSpaceDN w:val="0"/>
        <w:autoSpaceDE w:val="0"/>
        <w:widowControl/>
        <w:spacing w:line="262" w:lineRule="auto" w:before="476" w:after="22"/>
        <w:ind w:left="1440" w:right="1440" w:firstLine="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 xml:space="preserve">4. Departmental Communication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Widespread communication efforts are key to an inclusive and successful Departmental </w:t>
      </w:r>
      <w:r>
        <w:rPr>
          <w:rFonts w:ascii="Arial" w:hAnsi="Arial" w:eastAsia="Arial"/>
          <w:b w:val="0"/>
          <w:i w:val="0"/>
          <w:color w:val="000000"/>
          <w:sz w:val="22"/>
        </w:rPr>
        <w:t>community.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However, success in our department often depends on access to unwritten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</w:tblGrid>
      <w:tr>
        <w:trPr>
          <w:trHeight w:hRule="exact" w:val="29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10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knowledge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and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undocumented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resources.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Many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of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these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issues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include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lack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1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66" w:lineRule="auto" w:before="22" w:after="0"/>
        <w:ind w:left="1440" w:right="1442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understanding about funding, fellowships, or details about events that are usually disseminated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by word of mouth. This unwritten knowledge can act as a barrier for many, particularly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undergraduates and new students, while inconveniencing and slowing knowledge transfer for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those involved in these resources. We provide a list of areas where written communication could </w:t>
      </w:r>
      <w:r>
        <w:rPr>
          <w:rFonts w:ascii="Arial" w:hAnsi="Arial" w:eastAsia="Arial"/>
          <w:b w:val="0"/>
          <w:i w:val="0"/>
          <w:color w:val="000000"/>
          <w:sz w:val="22"/>
        </w:rPr>
        <w:t>be improved in the Departmental Communications Appendix.</w:t>
      </w:r>
    </w:p>
    <w:p>
      <w:pPr>
        <w:autoSpaceDN w:val="0"/>
        <w:autoSpaceDE w:val="0"/>
        <w:widowControl/>
        <w:spacing w:line="274" w:lineRule="auto" w:before="336" w:after="0"/>
        <w:ind w:left="1440" w:right="1440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We acknowledge the ongoing hard work to update the Graduate Student Handbook, but urge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completion of this update as soon as possible. The current system puts unnecessary work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on graduate and undergraduate students to find this unwritten information and communicate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needs, as well as on administrative staff who spend excessive time resolving confusion and </w:t>
      </w:r>
      <w:r>
        <w:rPr>
          <w:rFonts w:ascii="Arial" w:hAnsi="Arial" w:eastAsia="Arial"/>
          <w:b w:val="0"/>
          <w:i w:val="0"/>
          <w:color w:val="000000"/>
          <w:sz w:val="22"/>
        </w:rPr>
        <w:t>fielding questions.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We identify three specific communication gaps within our department: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the prevalence of undocumented resources, a lack of formalized updates particularly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with regard to departmental committees, and an inability to fully reach undergraduates.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We propose that these issues may be addressed through implementation of departmental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guides, formalized semesterly department update emails, and consistent communications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geared specifically to undergraduates and new majors, as outlined below. We are open to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further discussion about other ways to disseminate information more frequently and consistently.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We acknowledge the ongoing work to centralize information through a departmental intranet and </w:t>
      </w:r>
      <w:r>
        <w:rPr>
          <w:rFonts w:ascii="Arial" w:hAnsi="Arial" w:eastAsia="Arial"/>
          <w:b w:val="0"/>
          <w:i w:val="0"/>
          <w:color w:val="000000"/>
          <w:sz w:val="22"/>
        </w:rPr>
        <w:t>other efforts, and affirm that this is a great start.</w:t>
      </w:r>
    </w:p>
    <w:p>
      <w:pPr>
        <w:autoSpaceDN w:val="0"/>
        <w:autoSpaceDE w:val="0"/>
        <w:widowControl/>
        <w:spacing w:line="233" w:lineRule="auto" w:before="324" w:after="22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>As a solution to many of the knowledge gaps created by lack of understanding of departmental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>
        <w:trPr>
          <w:trHeight w:hRule="exact" w:val="29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8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procedures,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we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propose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generating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short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Departmental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0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Guides with standardized</w:t>
            </w:r>
          </w:p>
        </w:tc>
      </w:tr>
    </w:tbl>
    <w:p>
      <w:pPr>
        <w:autoSpaceDN w:val="0"/>
        <w:autoSpaceDE w:val="0"/>
        <w:widowControl/>
        <w:spacing w:line="271" w:lineRule="auto" w:before="22" w:after="0"/>
        <w:ind w:left="1440" w:right="1440" w:firstLine="0"/>
        <w:jc w:val="both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flowcharts and contact information for the wide range of issues that come up in </w:t>
      </w:r>
      <w:r>
        <w:rPr>
          <w:rFonts w:ascii="Arial" w:hAnsi="Arial" w:eastAsia="Arial"/>
          <w:b/>
          <w:i w:val="0"/>
          <w:color w:val="000000"/>
          <w:sz w:val="22"/>
        </w:rPr>
        <w:t>day-to-day and month-to-month departmental business.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These short Guides would be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created by each relevant Departmental group or person (e.g., Accounting, Jen, Sharon, etc.)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would serve as a resource for the entire community by providing quick reference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information for who to contact (or where to look) for answers to common questions. They would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also serve as a centralized place for the departmental community to share important links and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resources. Importantly, they would also reduce the workload and streamline tasks for the Office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Staff, Department Head, and Committee Leaders. These guides could be available on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departmental website and updated as needed. A non-exhaustive list of suggestions for Guides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to be created are listed in the Departmental Communications Appendix, but additional Guide </w:t>
      </w:r>
      <w:r>
        <w:rPr>
          <w:rFonts w:ascii="Arial" w:hAnsi="Arial" w:eastAsia="Arial"/>
          <w:b w:val="0"/>
          <w:i w:val="0"/>
          <w:color w:val="000000"/>
          <w:sz w:val="22"/>
        </w:rPr>
        <w:t>ideas are welcome.</w:t>
      </w:r>
    </w:p>
    <w:p>
      <w:pPr>
        <w:autoSpaceDN w:val="0"/>
        <w:autoSpaceDE w:val="0"/>
        <w:widowControl/>
        <w:spacing w:line="269" w:lineRule="auto" w:before="324" w:after="0"/>
        <w:ind w:left="1440" w:right="1446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While our department has been remote and unable to connect as we usually do in Tate, we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have greatly appreciated Donna’s email updates. These emails not only helped us as a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community remain informed in this highly variable time but also allowed for more unified and </w:t>
      </w:r>
      <w:r>
        <w:rPr>
          <w:rFonts w:ascii="Arial" w:hAnsi="Arial" w:eastAsia="Arial"/>
          <w:b w:val="0"/>
          <w:i w:val="0"/>
          <w:color w:val="000000"/>
          <w:sz w:val="22"/>
        </w:rPr>
        <w:t>regular updates on the state of the department as a whole.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We advocate for continuing these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timely updates going forward. Additionally, we propose adding a more consistent email </w:t>
      </w:r>
      <w:r>
        <w:rPr>
          <w:rFonts w:ascii="Arial" w:hAnsi="Arial" w:eastAsia="Arial"/>
          <w:b/>
          <w:i w:val="0"/>
          <w:color w:val="000000"/>
          <w:sz w:val="22"/>
        </w:rPr>
        <w:t>or internal newsletter (separate from the current alumni newsletter) at both the beginning</w:t>
      </w:r>
    </w:p>
    <w:p>
      <w:pPr>
        <w:autoSpaceDN w:val="0"/>
        <w:autoSpaceDE w:val="0"/>
        <w:widowControl/>
        <w:spacing w:line="233" w:lineRule="auto" w:before="606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>10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tabs>
          <w:tab w:pos="9788" w:val="left"/>
        </w:tabs>
        <w:autoSpaceDE w:val="0"/>
        <w:widowControl/>
        <w:spacing w:line="230" w:lineRule="auto" w:before="72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Student Response Letter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Jan. 2021</w:t>
      </w:r>
    </w:p>
    <w:p>
      <w:pPr>
        <w:autoSpaceDN w:val="0"/>
        <w:autoSpaceDE w:val="0"/>
        <w:widowControl/>
        <w:spacing w:line="230" w:lineRule="auto" w:before="476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and end of each semester.</w:t>
      </w:r>
    </w:p>
    <w:p>
      <w:pPr>
        <w:autoSpaceDN w:val="0"/>
        <w:autoSpaceDE w:val="0"/>
        <w:widowControl/>
        <w:spacing w:line="271" w:lineRule="auto" w:before="324" w:after="0"/>
        <w:ind w:left="1440" w:right="1442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At the beginning of each semester, this update could be sent concurrently with the department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seminar schedule, and include notes about upcoming events and reminders on when regular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departmental events occur, such as Happy Hour and Soft/Hard Rock Seminars. It should also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be posted to the department website. We acknowledge that it has been difficult in the past to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create an undergraduate listserv, and see this beginning-of-semester newsletter as a way to </w:t>
      </w:r>
      <w:r>
        <w:rPr>
          <w:rFonts w:ascii="Arial" w:hAnsi="Arial" w:eastAsia="Arial"/>
          <w:b w:val="0"/>
          <w:i w:val="0"/>
          <w:color w:val="000000"/>
          <w:sz w:val="22"/>
        </w:rPr>
        <w:t>improve communication with current and potential undergraduate majors.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We propose that this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beginning-of-semester newsletter also be distributed to all introductory level ESCI </w:t>
      </w:r>
      <w:r>
        <w:rPr>
          <w:rFonts w:ascii="Arial" w:hAnsi="Arial" w:eastAsia="Arial"/>
          <w:b/>
          <w:i w:val="0"/>
          <w:color w:val="000000"/>
          <w:sz w:val="22"/>
        </w:rPr>
        <w:t>classes to bring them into the community.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By doing this, students who are potentially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interested in joining the department or those who are not currently active in Geoclub could </w:t>
      </w:r>
      <w:r>
        <w:rPr>
          <w:rFonts w:ascii="Arial" w:hAnsi="Arial" w:eastAsia="Arial"/>
          <w:b w:val="0"/>
          <w:i w:val="0"/>
          <w:color w:val="000000"/>
          <w:sz w:val="22"/>
        </w:rPr>
        <w:t>remain informed about ongoing departmental efforts and events.</w:t>
      </w:r>
    </w:p>
    <w:p>
      <w:pPr>
        <w:autoSpaceDN w:val="0"/>
        <w:autoSpaceDE w:val="0"/>
        <w:widowControl/>
        <w:spacing w:line="274" w:lineRule="auto" w:before="324" w:after="0"/>
        <w:ind w:left="1440" w:right="1440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The end-of-semester newsletter would include some larger department updates from the past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semester and for the coming semester. Importantly, it would contain specific updates from each </w:t>
      </w:r>
      <w:r>
        <w:rPr>
          <w:rFonts w:ascii="Arial" w:hAnsi="Arial" w:eastAsia="Arial"/>
          <w:b w:val="0"/>
          <w:i w:val="0"/>
          <w:color w:val="000000"/>
          <w:sz w:val="22"/>
        </w:rPr>
        <w:t>of the departmental committees.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We suggest that the committee updates highlight work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that has been done during the semester, goals each committee has for the coming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months, and any needs they may require from the larger department. We propose either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asking the pre-existing Communications Committee or creating a new graduate student </w:t>
      </w:r>
      <w:r>
        <w:rPr>
          <w:rFonts w:ascii="Arial" w:hAnsi="Arial" w:eastAsia="Arial"/>
          <w:b/>
          <w:i w:val="0"/>
          <w:color w:val="000000"/>
          <w:sz w:val="22"/>
        </w:rPr>
        <w:t>job to gather the committee updates.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For this, a Google Form would be distributed to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department committees several weeks before the end of the semester and results would be </w:t>
      </w:r>
      <w:r>
        <w:rPr>
          <w:rFonts w:ascii="Arial" w:hAnsi="Arial" w:eastAsia="Arial"/>
          <w:b w:val="0"/>
          <w:i w:val="0"/>
          <w:color w:val="000000"/>
          <w:sz w:val="22"/>
        </w:rPr>
        <w:t>compiled.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These responses would then be included in the end-of-semester update, which </w:t>
      </w:r>
      <w:r>
        <w:rPr>
          <w:rFonts w:ascii="Arial" w:hAnsi="Arial" w:eastAsia="Arial"/>
          <w:b/>
          <w:i w:val="0"/>
          <w:color w:val="000000"/>
          <w:sz w:val="22"/>
        </w:rPr>
        <w:t>would be sent out by Donna or Office Staff.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This semester-end newsletter and update by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committees would greatly improve overall communication of ongoing activities within the </w:t>
      </w:r>
      <w:r>
        <w:rPr>
          <w:rFonts w:ascii="Arial" w:hAnsi="Arial" w:eastAsia="Arial"/>
          <w:b w:val="0"/>
          <w:i w:val="0"/>
          <w:color w:val="000000"/>
          <w:sz w:val="22"/>
        </w:rPr>
        <w:t>department.</w:t>
      </w:r>
    </w:p>
    <w:p>
      <w:pPr>
        <w:autoSpaceDN w:val="0"/>
        <w:autoSpaceDE w:val="0"/>
        <w:widowControl/>
        <w:spacing w:line="269" w:lineRule="auto" w:before="324" w:after="0"/>
        <w:ind w:left="1440" w:right="1444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>Finally, as a next step to this continued conversation,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we propose an externally facilitated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meeting between a representative group of approximately five students and five faculty </w:t>
      </w:r>
      <w:r>
        <w:rPr>
          <w:rFonts w:ascii="Arial" w:hAnsi="Arial" w:eastAsia="Arial"/>
          <w:b/>
          <w:i w:val="0"/>
          <w:color w:val="000000"/>
          <w:sz w:val="22"/>
        </w:rPr>
        <w:t>this semester.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The meeting this semester could be in lieu of the OGRES conversation between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Department Head, the DGS, and the graduate students if needed, and could also be held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yearly to ensure communications remain open between groups. Combined, these regular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updates and meetings would provide an avenue for more open communication between groups </w:t>
      </w:r>
      <w:r>
        <w:rPr>
          <w:rFonts w:ascii="Arial" w:hAnsi="Arial" w:eastAsia="Arial"/>
          <w:b w:val="0"/>
          <w:i w:val="0"/>
          <w:color w:val="000000"/>
          <w:sz w:val="22"/>
        </w:rPr>
        <w:t>within our departmental community.</w:t>
      </w:r>
    </w:p>
    <w:p>
      <w:pPr>
        <w:autoSpaceDN w:val="0"/>
        <w:autoSpaceDE w:val="0"/>
        <w:widowControl/>
        <w:spacing w:line="233" w:lineRule="auto" w:before="3872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>11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tabs>
          <w:tab w:pos="9788" w:val="left"/>
        </w:tabs>
        <w:autoSpaceDE w:val="0"/>
        <w:widowControl/>
        <w:spacing w:line="230" w:lineRule="auto" w:before="72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Student Response Letter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Jan. 2021</w:t>
      </w:r>
    </w:p>
    <w:p>
      <w:pPr>
        <w:autoSpaceDN w:val="0"/>
        <w:autoSpaceDE w:val="0"/>
        <w:widowControl/>
        <w:spacing w:line="271" w:lineRule="auto" w:before="476" w:after="0"/>
        <w:ind w:left="1440" w:right="1440" w:firstLine="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 xml:space="preserve">Conclusion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response of the geoscience community at large to the murder of George Floyd and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series of protests it inspired has been a burst of energy and interest in efforts towards increasing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diversity and promoting equity within the community and outside of it. As time moves on, we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must challenge ourselves to maintain that interest and make that push for equity a part of our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daily practice. We have tried to highlight in this letter issues to focus on and steps to take that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will make knowledge more accessible and teaching more inclusive. While these changes cannot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be implemented immediately, we hope that we as a department can move quickly to begin to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implement them. We look forward to working with you in their implementation and reflecting with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you on how to evolve further. We look forward to addressing these requests as part of a </w:t>
      </w:r>
      <w:r>
        <w:rPr>
          <w:rFonts w:ascii="Arial" w:hAnsi="Arial" w:eastAsia="Arial"/>
          <w:b w:val="0"/>
          <w:i w:val="0"/>
          <w:color w:val="000000"/>
          <w:sz w:val="22"/>
        </w:rPr>
        <w:t>facilitated discussion between faculty and graduate students during the upcoming semester.</w:t>
      </w:r>
    </w:p>
    <w:p>
      <w:pPr>
        <w:autoSpaceDN w:val="0"/>
        <w:autoSpaceDE w:val="0"/>
        <w:widowControl/>
        <w:spacing w:line="233" w:lineRule="auto" w:before="336" w:after="284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>Signed: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080"/>
        <w:gridCol w:w="4080"/>
        <w:gridCol w:w="4080"/>
      </w:tblGrid>
      <w:tr>
        <w:trPr>
          <w:trHeight w:hRule="exact" w:val="314"/>
        </w:trPr>
        <w:tc>
          <w:tcPr>
            <w:tcW w:type="dxa" w:w="3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7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Harsh Anurag</w:t>
            </w:r>
          </w:p>
        </w:tc>
        <w:tc>
          <w:tcPr>
            <w:tcW w:type="dxa" w:w="3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Lindsey Kenyon</w:t>
            </w:r>
          </w:p>
        </w:tc>
        <w:tc>
          <w:tcPr>
            <w:tcW w:type="dxa" w:w="3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Jesse Schewe</w:t>
            </w:r>
          </w:p>
        </w:tc>
      </w:tr>
      <w:tr>
        <w:trPr>
          <w:trHeight w:hRule="exact" w:val="300"/>
        </w:trPr>
        <w:tc>
          <w:tcPr>
            <w:tcW w:type="dxa" w:w="3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7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Hongfan Cao</w:t>
            </w:r>
          </w:p>
        </w:tc>
        <w:tc>
          <w:tcPr>
            <w:tcW w:type="dxa" w:w="3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3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Jana Kramer</w:t>
            </w:r>
          </w:p>
        </w:tc>
        <w:tc>
          <w:tcPr>
            <w:tcW w:type="dxa" w:w="3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3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Emma Schneider</w:t>
            </w:r>
          </w:p>
        </w:tc>
      </w:tr>
      <w:tr>
        <w:trPr>
          <w:trHeight w:hRule="exact" w:val="280"/>
        </w:trPr>
        <w:tc>
          <w:tcPr>
            <w:tcW w:type="dxa" w:w="3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7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Jen Caseres</w:t>
            </w:r>
          </w:p>
        </w:tc>
        <w:tc>
          <w:tcPr>
            <w:tcW w:type="dxa" w:w="3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3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Autumn Lauer</w:t>
            </w:r>
          </w:p>
        </w:tc>
        <w:tc>
          <w:tcPr>
            <w:tcW w:type="dxa" w:w="3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3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Christopher Schuler</w:t>
            </w:r>
          </w:p>
        </w:tc>
      </w:tr>
      <w:tr>
        <w:trPr>
          <w:trHeight w:hRule="exact" w:val="300"/>
        </w:trPr>
        <w:tc>
          <w:tcPr>
            <w:tcW w:type="dxa" w:w="3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7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Derek Cole</w:t>
            </w:r>
          </w:p>
        </w:tc>
        <w:tc>
          <w:tcPr>
            <w:tcW w:type="dxa" w:w="3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3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Woonghee Lee</w:t>
            </w:r>
          </w:p>
        </w:tc>
        <w:tc>
          <w:tcPr>
            <w:tcW w:type="dxa" w:w="3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3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Viven Sharma</w:t>
            </w:r>
          </w:p>
        </w:tc>
      </w:tr>
      <w:tr>
        <w:trPr>
          <w:trHeight w:hRule="exact" w:val="280"/>
        </w:trPr>
        <w:tc>
          <w:tcPr>
            <w:tcW w:type="dxa" w:w="3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7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Gabriela Ines DeLisle Diaz</w:t>
            </w:r>
          </w:p>
        </w:tc>
        <w:tc>
          <w:tcPr>
            <w:tcW w:type="dxa" w:w="3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3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Dalton Leprich</w:t>
            </w:r>
          </w:p>
        </w:tc>
        <w:tc>
          <w:tcPr>
            <w:tcW w:type="dxa" w:w="3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3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Priya Shenoi</w:t>
            </w:r>
          </w:p>
        </w:tc>
      </w:tr>
      <w:tr>
        <w:trPr>
          <w:trHeight w:hRule="exact" w:val="300"/>
        </w:trPr>
        <w:tc>
          <w:tcPr>
            <w:tcW w:type="dxa" w:w="3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7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Maeve Dellert</w:t>
            </w:r>
          </w:p>
        </w:tc>
        <w:tc>
          <w:tcPr>
            <w:tcW w:type="dxa" w:w="3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3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Kali Mansur</w:t>
            </w:r>
          </w:p>
        </w:tc>
        <w:tc>
          <w:tcPr>
            <w:tcW w:type="dxa" w:w="3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3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Lauren Shipman</w:t>
            </w:r>
          </w:p>
        </w:tc>
      </w:tr>
      <w:tr>
        <w:trPr>
          <w:trHeight w:hRule="exact" w:val="300"/>
        </w:trPr>
        <w:tc>
          <w:tcPr>
            <w:tcW w:type="dxa" w:w="3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7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Rashida Doctor</w:t>
            </w:r>
          </w:p>
        </w:tc>
        <w:tc>
          <w:tcPr>
            <w:tcW w:type="dxa" w:w="3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3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John McDaris</w:t>
            </w:r>
          </w:p>
        </w:tc>
        <w:tc>
          <w:tcPr>
            <w:tcW w:type="dxa" w:w="3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3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Francesca Socki</w:t>
            </w:r>
          </w:p>
        </w:tc>
      </w:tr>
      <w:tr>
        <w:trPr>
          <w:trHeight w:hRule="exact" w:val="280"/>
        </w:trPr>
        <w:tc>
          <w:tcPr>
            <w:tcW w:type="dxa" w:w="3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7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Stephanie Finch</w:t>
            </w:r>
          </w:p>
        </w:tc>
        <w:tc>
          <w:tcPr>
            <w:tcW w:type="dxa" w:w="3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3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Kirsten Meltesen</w:t>
            </w:r>
          </w:p>
        </w:tc>
        <w:tc>
          <w:tcPr>
            <w:tcW w:type="dxa" w:w="3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3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Lexi Stricker</w:t>
            </w:r>
          </w:p>
        </w:tc>
      </w:tr>
      <w:tr>
        <w:trPr>
          <w:trHeight w:hRule="exact" w:val="300"/>
        </w:trPr>
        <w:tc>
          <w:tcPr>
            <w:tcW w:type="dxa" w:w="3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7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Allison Friello</w:t>
            </w:r>
          </w:p>
        </w:tc>
        <w:tc>
          <w:tcPr>
            <w:tcW w:type="dxa" w:w="3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3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Morgan Monz</w:t>
            </w:r>
          </w:p>
        </w:tc>
        <w:tc>
          <w:tcPr>
            <w:tcW w:type="dxa" w:w="3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3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James Symanski</w:t>
            </w:r>
          </w:p>
        </w:tc>
      </w:tr>
      <w:tr>
        <w:trPr>
          <w:trHeight w:hRule="exact" w:val="280"/>
        </w:trPr>
        <w:tc>
          <w:tcPr>
            <w:tcW w:type="dxa" w:w="3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7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John He</w:t>
            </w:r>
          </w:p>
        </w:tc>
        <w:tc>
          <w:tcPr>
            <w:tcW w:type="dxa" w:w="3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3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Leah Nelson</w:t>
            </w:r>
          </w:p>
        </w:tc>
        <w:tc>
          <w:tcPr>
            <w:tcW w:type="dxa" w:w="3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3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Alex Waheed</w:t>
            </w:r>
          </w:p>
        </w:tc>
      </w:tr>
      <w:tr>
        <w:trPr>
          <w:trHeight w:hRule="exact" w:val="300"/>
        </w:trPr>
        <w:tc>
          <w:tcPr>
            <w:tcW w:type="dxa" w:w="3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7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Lily Hershley</w:t>
            </w:r>
          </w:p>
        </w:tc>
        <w:tc>
          <w:tcPr>
            <w:tcW w:type="dxa" w:w="3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3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Christine Newville</w:t>
            </w:r>
          </w:p>
        </w:tc>
        <w:tc>
          <w:tcPr>
            <w:tcW w:type="dxa" w:w="3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3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Grace Walker</w:t>
            </w:r>
          </w:p>
        </w:tc>
      </w:tr>
      <w:tr>
        <w:trPr>
          <w:trHeight w:hRule="exact" w:val="280"/>
        </w:trPr>
        <w:tc>
          <w:tcPr>
            <w:tcW w:type="dxa" w:w="3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7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Kathryn Hobart</w:t>
            </w:r>
          </w:p>
        </w:tc>
        <w:tc>
          <w:tcPr>
            <w:tcW w:type="dxa" w:w="3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3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Maddy Nyblade</w:t>
            </w:r>
          </w:p>
        </w:tc>
        <w:tc>
          <w:tcPr>
            <w:tcW w:type="dxa" w:w="3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3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Josie Welsh</w:t>
            </w:r>
          </w:p>
        </w:tc>
      </w:tr>
      <w:tr>
        <w:trPr>
          <w:trHeight w:hRule="exact" w:val="300"/>
        </w:trPr>
        <w:tc>
          <w:tcPr>
            <w:tcW w:type="dxa" w:w="3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7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Noah Hoffman</w:t>
            </w:r>
          </w:p>
        </w:tc>
        <w:tc>
          <w:tcPr>
            <w:tcW w:type="dxa" w:w="3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John Christopher O’Malley</w:t>
            </w:r>
          </w:p>
        </w:tc>
        <w:tc>
          <w:tcPr>
            <w:tcW w:type="dxa" w:w="3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3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Rashel Williams-Schaetzel</w:t>
            </w:r>
          </w:p>
        </w:tc>
      </w:tr>
      <w:tr>
        <w:trPr>
          <w:trHeight w:hRule="exact" w:val="280"/>
        </w:trPr>
        <w:tc>
          <w:tcPr>
            <w:tcW w:type="dxa" w:w="3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7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Sarah Horns</w:t>
            </w:r>
          </w:p>
        </w:tc>
        <w:tc>
          <w:tcPr>
            <w:tcW w:type="dxa" w:w="3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3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Dylan Parmenter</w:t>
            </w:r>
          </w:p>
        </w:tc>
        <w:tc>
          <w:tcPr>
            <w:tcW w:type="dxa" w:w="3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3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Evan Whiting</w:t>
            </w:r>
          </w:p>
        </w:tc>
      </w:tr>
      <w:tr>
        <w:trPr>
          <w:trHeight w:hRule="exact" w:val="300"/>
        </w:trPr>
        <w:tc>
          <w:tcPr>
            <w:tcW w:type="dxa" w:w="3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7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Jabari Jones</w:t>
            </w:r>
          </w:p>
        </w:tc>
        <w:tc>
          <w:tcPr>
            <w:tcW w:type="dxa" w:w="3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3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Shanti Penprase</w:t>
            </w:r>
          </w:p>
        </w:tc>
        <w:tc>
          <w:tcPr>
            <w:tcW w:type="dxa" w:w="3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3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Maximillian Van Wyk de Vries</w:t>
            </w:r>
          </w:p>
        </w:tc>
      </w:tr>
      <w:tr>
        <w:trPr>
          <w:trHeight w:hRule="exact" w:val="280"/>
        </w:trPr>
        <w:tc>
          <w:tcPr>
            <w:tcW w:type="dxa" w:w="3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7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Camryn Jordan</w:t>
            </w:r>
          </w:p>
        </w:tc>
        <w:tc>
          <w:tcPr>
            <w:tcW w:type="dxa" w:w="3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3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Leila Saberi</w:t>
            </w:r>
          </w:p>
        </w:tc>
        <w:tc>
          <w:tcPr>
            <w:tcW w:type="dxa" w:w="39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31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Zhao Zhu</w:t>
            </w:r>
          </w:p>
        </w:tc>
      </w:tr>
      <w:tr>
        <w:trPr>
          <w:trHeight w:hRule="exact" w:val="346"/>
        </w:trPr>
        <w:tc>
          <w:tcPr>
            <w:tcW w:type="dxa" w:w="3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7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Izzy Keefe</w:t>
            </w:r>
          </w:p>
        </w:tc>
        <w:tc>
          <w:tcPr>
            <w:tcW w:type="dxa" w:w="3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3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Mary Sabuda</w:t>
            </w:r>
          </w:p>
        </w:tc>
        <w:tc>
          <w:tcPr>
            <w:tcW w:type="dxa" w:w="40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425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>12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6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6120"/>
        <w:gridCol w:w="6120"/>
      </w:tblGrid>
      <w:tr>
        <w:trPr>
          <w:trHeight w:hRule="exact" w:val="364"/>
        </w:trPr>
        <w:tc>
          <w:tcPr>
            <w:tcW w:type="dxa" w:w="6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7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Student Response Letter</w:t>
            </w:r>
          </w:p>
        </w:tc>
        <w:tc>
          <w:tcPr>
            <w:tcW w:type="dxa" w:w="4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72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Jan. 2021</w:t>
            </w:r>
          </w:p>
        </w:tc>
      </w:tr>
    </w:tbl>
    <w:p>
      <w:pPr>
        <w:autoSpaceDN w:val="0"/>
        <w:autoSpaceDE w:val="0"/>
        <w:widowControl/>
        <w:spacing w:line="233" w:lineRule="auto" w:before="708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6"/>
        </w:rPr>
        <w:t>APPENDICES</w:t>
      </w:r>
    </w:p>
    <w:p>
      <w:pPr>
        <w:autoSpaceDN w:val="0"/>
        <w:autoSpaceDE w:val="0"/>
        <w:widowControl/>
        <w:spacing w:line="274" w:lineRule="auto" w:before="342" w:after="0"/>
        <w:ind w:left="1440" w:right="144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Resources on Native EJ Struggles, Native Histories and The Intersections between Earth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Sciences &amp; Violence </w:t>
      </w:r>
      <w:r>
        <w:br/>
      </w:r>
      <w:r>
        <w:rPr>
          <w:rFonts w:ascii="Arial" w:hAnsi="Arial" w:eastAsia="Arial"/>
          <w:b w:val="0"/>
          <w:i w:val="0"/>
          <w:color w:val="1154CC"/>
          <w:sz w:val="18"/>
        </w:rPr>
        <w:hyperlink r:id="rId23" w:history="1">
          <w:r>
            <w:rPr>
              <w:rStyle w:val="Hyperlink"/>
            </w:rPr>
            <w:t xml:space="preserve">Geoscience and Colonialism GSA Talk (May 2020) </w:t>
          </w:r>
        </w:hyperlink>
      </w:r>
      <w:r>
        <w:br/>
      </w:r>
      <w:r>
        <w:rPr>
          <w:rFonts w:ascii="Arial" w:hAnsi="Arial" w:eastAsia="Arial"/>
          <w:b w:val="0"/>
          <w:i w:val="0"/>
          <w:color w:val="1154CC"/>
          <w:sz w:val="18"/>
          <w:u w:val="single"/>
        </w:rPr>
        <w:hyperlink r:id="rId24" w:history="1">
          <w:r>
            <w:rPr>
              <w:rStyle w:val="Hyperlink"/>
            </w:rPr>
            <w:t xml:space="preserve">Geology and Colonialism Reading List </w:t>
          </w:r>
        </w:hyperlink>
      </w:r>
      <w:r>
        <w:br/>
      </w:r>
      <w:r>
        <w:rPr>
          <w:rFonts w:ascii="Arial" w:hAnsi="Arial" w:eastAsia="Arial"/>
          <w:b w:val="0"/>
          <w:i w:val="0"/>
          <w:color w:val="1154CC"/>
          <w:sz w:val="18"/>
          <w:u w:val="single"/>
        </w:rPr>
        <w:hyperlink r:id="rId25" w:history="1">
          <w:r>
            <w:rPr>
              <w:rStyle w:val="Hyperlink"/>
            </w:rPr>
            <w:t>Overview of Tribal Sovereignty and History</w:t>
          </w:r>
        </w:hyperlink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 (Tad Johnson, Tribal liaison for UMN, Fall 2020) </w:t>
      </w:r>
      <w:r>
        <w:br/>
      </w:r>
      <w:r>
        <w:rPr>
          <w:rFonts w:ascii="Arial" w:hAnsi="Arial" w:eastAsia="Arial"/>
          <w:b w:val="0"/>
          <w:i w:val="0"/>
          <w:color w:val="1154CC"/>
          <w:sz w:val="18"/>
          <w:u w:val="single"/>
        </w:rPr>
        <w:hyperlink r:id="rId26" w:history="1">
          <w:r>
            <w:rPr>
              <w:rStyle w:val="Hyperlink"/>
            </w:rPr>
            <w:t xml:space="preserve">Intersectional Environmentalism and Environmental Justice - Collaborative Reading List </w:t>
          </w:r>
        </w:hyperlink>
      </w:r>
      <w:r>
        <w:br/>
      </w:r>
      <w:r>
        <w:rPr>
          <w:rFonts w:ascii="Arial" w:hAnsi="Arial" w:eastAsia="Arial"/>
          <w:b w:val="0"/>
          <w:i w:val="0"/>
          <w:color w:val="1154CC"/>
          <w:sz w:val="18"/>
          <w:u w:val="single"/>
        </w:rPr>
        <w:hyperlink r:id="rId27" w:history="1">
          <w:r>
            <w:rPr>
              <w:rStyle w:val="Hyperlink"/>
            </w:rPr>
            <w:t xml:space="preserve">Center for Earth, Energy, and Democracy EJ mapping tool </w:t>
          </w:r>
        </w:hyperlink>
      </w:r>
      <w:r>
        <w:br/>
      </w:r>
      <w:r>
        <w:rPr>
          <w:rFonts w:ascii="Arial" w:hAnsi="Arial" w:eastAsia="Arial"/>
          <w:b w:val="0"/>
          <w:i w:val="0"/>
          <w:color w:val="1154CC"/>
          <w:sz w:val="18"/>
          <w:u w:val="single"/>
        </w:rPr>
        <w:hyperlink r:id="rId28" w:history="1">
          <w:r>
            <w:rPr>
              <w:rStyle w:val="Hyperlink"/>
            </w:rPr>
            <w:t xml:space="preserve">UC Berkeley Environmental Justice reading list </w:t>
          </w:r>
        </w:hyperlink>
      </w:r>
      <w:r>
        <w:br/>
      </w:r>
      <w:r>
        <w:rPr>
          <w:rFonts w:ascii="Arial" w:hAnsi="Arial" w:eastAsia="Arial"/>
          <w:b w:val="0"/>
          <w:i w:val="0"/>
          <w:color w:val="1154CC"/>
          <w:sz w:val="18"/>
          <w:u w:val="single"/>
        </w:rPr>
        <w:hyperlink r:id="rId29" w:history="1">
          <w:r>
            <w:rPr>
              <w:rStyle w:val="Hyperlink"/>
            </w:rPr>
            <w:t xml:space="preserve">No Time For Silence anti-racism in geoscience letter </w:t>
          </w:r>
        </w:hyperlink>
      </w:r>
      <w:r>
        <w:br/>
      </w:r>
      <w:r>
        <w:rPr>
          <w:rFonts w:ascii="Arial" w:hAnsi="Arial" w:eastAsia="Arial"/>
          <w:b w:val="0"/>
          <w:i w:val="0"/>
          <w:color w:val="1154CC"/>
          <w:sz w:val="18"/>
          <w:u w:val="single"/>
        </w:rPr>
        <w:hyperlink r:id="rId30" w:history="1">
          <w:r>
            <w:rPr>
              <w:rStyle w:val="Hyperlink"/>
            </w:rPr>
            <w:t xml:space="preserve">MN AIPG racial justice reading list </w:t>
          </w:r>
        </w:hyperlink>
      </w:r>
      <w:r>
        <w:br/>
      </w:r>
      <w:r>
        <w:rPr>
          <w:rFonts w:ascii="Arial" w:hAnsi="Arial" w:eastAsia="Arial"/>
          <w:b w:val="0"/>
          <w:i w:val="0"/>
          <w:color w:val="1154CC"/>
          <w:sz w:val="18"/>
          <w:u w:val="single"/>
        </w:rPr>
        <w:hyperlink r:id="rId31" w:history="1">
          <w:r>
            <w:rPr>
              <w:rStyle w:val="Hyperlink"/>
            </w:rPr>
            <w:t xml:space="preserve">People of Color Environmental Leadership Summit Principles of EJ </w:t>
          </w:r>
        </w:hyperlink>
      </w:r>
      <w:r>
        <w:br/>
      </w:r>
      <w:r>
        <w:rPr>
          <w:rFonts w:ascii="Arial" w:hAnsi="Arial" w:eastAsia="Arial"/>
          <w:b w:val="0"/>
          <w:i w:val="0"/>
          <w:color w:val="1154CC"/>
          <w:sz w:val="18"/>
          <w:u w:val="single"/>
        </w:rPr>
        <w:hyperlink r:id="rId32" w:history="1">
          <w:r>
            <w:rPr>
              <w:rStyle w:val="Hyperlink"/>
            </w:rPr>
            <w:t>"MLK Now" is the Language of Struggle We Need</w:t>
          </w:r>
        </w:hyperlink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 (</w:t>
      </w:r>
      <w:r>
        <w:rPr>
          <w:shd w:val="clear" w:color="auto" w:fill="f9f9f9"/>
          <w:rFonts w:ascii="Arial" w:hAnsi="Arial" w:eastAsia="Arial"/>
          <w:b w:val="0"/>
          <w:i w:val="0"/>
          <w:color w:val="000000"/>
          <w:sz w:val="18"/>
        </w:rPr>
        <w:hyperlink r:id="rId33" w:history="1">
          <w:r>
            <w:rPr>
              <w:rStyle w:val="Hyperlink"/>
            </w:rPr>
            <w:t>Yuichiro Onishi</w:t>
          </w:r>
        </w:hyperlink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, UMN Associate Prof, Department Chair of African </w:t>
      </w:r>
      <w:r>
        <w:rPr>
          <w:rFonts w:ascii="Arial" w:hAnsi="Arial" w:eastAsia="Arial"/>
          <w:b w:val="0"/>
          <w:i w:val="0"/>
          <w:color w:val="000000"/>
          <w:sz w:val="18"/>
        </w:rPr>
        <w:t>American and African Studies, Spring 2021)</w:t>
      </w:r>
    </w:p>
    <w:p>
      <w:pPr>
        <w:autoSpaceDN w:val="0"/>
        <w:autoSpaceDE w:val="0"/>
        <w:widowControl/>
        <w:spacing w:line="254" w:lineRule="auto" w:before="516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Blackhawk, N. (2007). Recasting the narrative of America: The rewards and challenges of teaching American Indian </w:t>
      </w:r>
      <w:r>
        <w:rPr>
          <w:rFonts w:ascii="Arial" w:hAnsi="Arial" w:eastAsia="Arial"/>
          <w:b w:val="0"/>
          <w:i w:val="0"/>
          <w:color w:val="000000"/>
          <w:sz w:val="18"/>
        </w:rPr>
        <w:t>history.</w:t>
      </w:r>
      <w:r>
        <w:rPr>
          <w:rFonts w:ascii="Arial" w:hAnsi="Arial" w:eastAsia="Arial"/>
          <w:b w:val="0"/>
          <w:i/>
          <w:color w:val="000000"/>
          <w:sz w:val="18"/>
        </w:rPr>
        <w:t xml:space="preserve"> Journal of American History</w:t>
      </w:r>
      <w:r>
        <w:rPr>
          <w:rFonts w:ascii="Arial" w:hAnsi="Arial" w:eastAsia="Arial"/>
          <w:b w:val="0"/>
          <w:i w:val="0"/>
          <w:color w:val="000000"/>
          <w:sz w:val="18"/>
        </w:rPr>
        <w:t>,</w:t>
      </w:r>
      <w:r>
        <w:rPr>
          <w:rFonts w:ascii="Arial" w:hAnsi="Arial" w:eastAsia="Arial"/>
          <w:b w:val="0"/>
          <w:i/>
          <w:color w:val="000000"/>
          <w:sz w:val="18"/>
        </w:rPr>
        <w:t xml:space="preserve"> 93</w:t>
      </w:r>
      <w:r>
        <w:rPr>
          <w:rFonts w:ascii="Arial" w:hAnsi="Arial" w:eastAsia="Arial"/>
          <w:b w:val="0"/>
          <w:i w:val="0"/>
          <w:color w:val="000000"/>
          <w:sz w:val="18"/>
        </w:rPr>
        <w:t>(4), 1165–1170. https://doi.org/10.2307/25094606</w:t>
      </w:r>
    </w:p>
    <w:p>
      <w:pPr>
        <w:autoSpaceDN w:val="0"/>
        <w:autoSpaceDE w:val="0"/>
        <w:widowControl/>
        <w:spacing w:line="254" w:lineRule="auto" w:before="27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>Estes, Nick.</w:t>
      </w:r>
      <w:r>
        <w:rPr>
          <w:rFonts w:ascii="Arial" w:hAnsi="Arial" w:eastAsia="Arial"/>
          <w:b w:val="0"/>
          <w:i/>
          <w:color w:val="000000"/>
          <w:sz w:val="18"/>
        </w:rPr>
        <w:t xml:space="preserve"> Our History Is the Future: Standing Rock Versus the Dakota Access Pipeline, and the Long Tradition of </w:t>
      </w:r>
      <w:r>
        <w:rPr>
          <w:rFonts w:ascii="Arial" w:hAnsi="Arial" w:eastAsia="Arial"/>
          <w:b w:val="0"/>
          <w:i/>
          <w:color w:val="000000"/>
          <w:sz w:val="18"/>
        </w:rPr>
        <w:t>Indigenous Resistance. Verso. 2019.</w:t>
      </w:r>
    </w:p>
    <w:p>
      <w:pPr>
        <w:autoSpaceDN w:val="0"/>
        <w:autoSpaceDE w:val="0"/>
        <w:widowControl/>
        <w:spacing w:line="254" w:lineRule="auto" w:before="276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>Gilio-Whitaker, Dina.</w:t>
      </w:r>
      <w:r>
        <w:rPr>
          <w:rFonts w:ascii="Arial" w:hAnsi="Arial" w:eastAsia="Arial"/>
          <w:b w:val="0"/>
          <w:i/>
          <w:color w:val="000000"/>
          <w:sz w:val="18"/>
        </w:rPr>
        <w:t xml:space="preserve"> As Long as Grass Grows: The Indigenous Fight for Environmental Justice from Colonization to </w:t>
      </w:r>
      <w:r>
        <w:rPr>
          <w:rFonts w:ascii="Arial" w:hAnsi="Arial" w:eastAsia="Arial"/>
          <w:b w:val="0"/>
          <w:i/>
          <w:color w:val="000000"/>
          <w:sz w:val="18"/>
        </w:rPr>
        <w:t>Standing Rock.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 Beacon Press. 2019.</w:t>
      </w:r>
    </w:p>
    <w:p>
      <w:pPr>
        <w:autoSpaceDN w:val="0"/>
        <w:autoSpaceDE w:val="0"/>
        <w:widowControl/>
        <w:spacing w:line="235" w:lineRule="auto" w:before="27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>Lass, W. (1992).</w:t>
      </w:r>
      <w:r>
        <w:rPr>
          <w:rFonts w:ascii="Arial" w:hAnsi="Arial" w:eastAsia="Arial"/>
          <w:b w:val="0"/>
          <w:i/>
          <w:color w:val="1154CC"/>
          <w:sz w:val="18"/>
        </w:rPr>
        <w:t xml:space="preserve"> </w:t>
      </w:r>
      <w:r>
        <w:rPr>
          <w:rFonts w:ascii="Arial" w:hAnsi="Arial" w:eastAsia="Arial"/>
          <w:b w:val="0"/>
          <w:i/>
          <w:color w:val="1154CC"/>
          <w:sz w:val="18"/>
          <w:u w:val="single"/>
        </w:rPr>
        <w:hyperlink r:id="rId34" w:history="1">
          <w:r>
            <w:rPr>
              <w:rStyle w:val="Hyperlink"/>
            </w:rPr>
            <w:t>Minnesota’s Salt Lands Saga</w:t>
          </w:r>
        </w:hyperlink>
      </w:r>
      <w:r>
        <w:rPr>
          <w:rFonts w:ascii="Arial" w:hAnsi="Arial" w:eastAsia="Arial"/>
          <w:b w:val="0"/>
          <w:i w:val="0"/>
          <w:color w:val="000000"/>
          <w:sz w:val="18"/>
        </w:rPr>
        <w:t>. Minnesota History Society.</w:t>
      </w:r>
    </w:p>
    <w:p>
      <w:pPr>
        <w:autoSpaceDN w:val="0"/>
        <w:autoSpaceDE w:val="0"/>
        <w:widowControl/>
        <w:spacing w:line="235" w:lineRule="auto" w:before="27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>Lee, R., &amp; Ahtone, T. (2020).</w:t>
      </w:r>
      <w:r>
        <w:rPr>
          <w:rFonts w:ascii="Arial" w:hAnsi="Arial" w:eastAsia="Arial"/>
          <w:b w:val="0"/>
          <w:i w:val="0"/>
          <w:color w:val="1154CC"/>
          <w:sz w:val="18"/>
        </w:rPr>
        <w:t xml:space="preserve"> </w:t>
      </w:r>
      <w:r>
        <w:rPr>
          <w:rFonts w:ascii="Arial" w:hAnsi="Arial" w:eastAsia="Arial"/>
          <w:b w:val="0"/>
          <w:i w:val="0"/>
          <w:color w:val="1154CC"/>
          <w:sz w:val="18"/>
          <w:u w:val="single"/>
        </w:rPr>
        <w:hyperlink r:id="rId35" w:history="1">
          <w:r>
            <w:rPr>
              <w:rStyle w:val="Hyperlink"/>
            </w:rPr>
            <w:t>Land-grab universities</w:t>
          </w:r>
        </w:hyperlink>
      </w:r>
      <w:r>
        <w:rPr>
          <w:rFonts w:ascii="Arial" w:hAnsi="Arial" w:eastAsia="Arial"/>
          <w:b w:val="0"/>
          <w:i w:val="0"/>
          <w:color w:val="000000"/>
          <w:sz w:val="18"/>
        </w:rPr>
        <w:t>.</w:t>
      </w:r>
      <w:r>
        <w:rPr>
          <w:rFonts w:ascii="Arial" w:hAnsi="Arial" w:eastAsia="Arial"/>
          <w:b w:val="0"/>
          <w:i/>
          <w:color w:val="000000"/>
          <w:sz w:val="18"/>
        </w:rPr>
        <w:t xml:space="preserve"> High Country News</w:t>
      </w:r>
      <w:r>
        <w:rPr>
          <w:rFonts w:ascii="Arial" w:hAnsi="Arial" w:eastAsia="Arial"/>
          <w:b w:val="0"/>
          <w:i w:val="0"/>
          <w:color w:val="000000"/>
          <w:sz w:val="18"/>
        </w:rPr>
        <w:t>, 1–38.</w:t>
      </w:r>
    </w:p>
    <w:p>
      <w:pPr>
        <w:autoSpaceDN w:val="0"/>
        <w:autoSpaceDE w:val="0"/>
        <w:widowControl/>
        <w:spacing w:line="254" w:lineRule="auto" w:before="276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>Medin, Douglas and Bang, Megan.</w:t>
      </w:r>
      <w:r>
        <w:rPr>
          <w:rFonts w:ascii="Arial" w:hAnsi="Arial" w:eastAsia="Arial"/>
          <w:b w:val="0"/>
          <w:i/>
          <w:color w:val="000000"/>
          <w:sz w:val="18"/>
        </w:rPr>
        <w:t xml:space="preserve"> Who’s Asking? Native Science, Western Science, and Science Education. MIT </w:t>
      </w:r>
      <w:r>
        <w:rPr>
          <w:rFonts w:ascii="Arial" w:hAnsi="Arial" w:eastAsia="Arial"/>
          <w:b w:val="0"/>
          <w:i/>
          <w:color w:val="000000"/>
          <w:sz w:val="18"/>
        </w:rPr>
        <w:t>Press.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 2014.</w:t>
      </w:r>
    </w:p>
    <w:p>
      <w:pPr>
        <w:autoSpaceDN w:val="0"/>
        <w:autoSpaceDE w:val="0"/>
        <w:widowControl/>
        <w:spacing w:line="235" w:lineRule="auto" w:before="274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>Smith, Linda Tuhiwai.</w:t>
      </w:r>
      <w:r>
        <w:rPr>
          <w:rFonts w:ascii="Arial" w:hAnsi="Arial" w:eastAsia="Arial"/>
          <w:b w:val="0"/>
          <w:i/>
          <w:color w:val="000000"/>
          <w:sz w:val="18"/>
        </w:rPr>
        <w:t xml:space="preserve"> Decolonizing Methodologies: Research and Indigenous Peoples.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 Zed Books Ltd. 1999.</w:t>
      </w:r>
    </w:p>
    <w:p>
      <w:pPr>
        <w:autoSpaceDN w:val="0"/>
        <w:autoSpaceDE w:val="0"/>
        <w:widowControl/>
        <w:spacing w:line="254" w:lineRule="auto" w:before="274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>Waziyatawin</w:t>
      </w:r>
      <w:r>
        <w:rPr>
          <w:rFonts w:ascii="Arial" w:hAnsi="Arial" w:eastAsia="Arial"/>
          <w:b w:val="0"/>
          <w:i/>
          <w:color w:val="000000"/>
          <w:sz w:val="18"/>
        </w:rPr>
        <w:t>. T</w:t>
      </w:r>
      <w:r>
        <w:rPr>
          <w:rFonts w:ascii="Arial" w:hAnsi="Arial" w:eastAsia="Arial"/>
          <w:b w:val="0"/>
          <w:i w:val="0"/>
          <w:color w:val="000000"/>
          <w:sz w:val="18"/>
        </w:rPr>
        <w:t>he paradox of Indigenous resurgence at the end of empire.</w:t>
      </w:r>
      <w:r>
        <w:rPr>
          <w:rFonts w:ascii="Arial" w:hAnsi="Arial" w:eastAsia="Arial"/>
          <w:b w:val="0"/>
          <w:i/>
          <w:color w:val="000000"/>
          <w:sz w:val="18"/>
        </w:rPr>
        <w:t xml:space="preserve"> Decolonization: Indigeneity, Education &amp; </w:t>
      </w:r>
      <w:r>
        <w:rPr>
          <w:rFonts w:ascii="Arial" w:hAnsi="Arial" w:eastAsia="Arial"/>
          <w:b w:val="0"/>
          <w:i/>
          <w:color w:val="000000"/>
          <w:sz w:val="18"/>
        </w:rPr>
        <w:t>Society.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 Vol. 1, No. 1, 2012.</w:t>
      </w:r>
    </w:p>
    <w:p>
      <w:pPr>
        <w:autoSpaceDN w:val="0"/>
        <w:autoSpaceDE w:val="0"/>
        <w:widowControl/>
        <w:spacing w:line="254" w:lineRule="auto" w:before="274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>Waziyatawin.</w:t>
      </w:r>
      <w:r>
        <w:rPr>
          <w:rFonts w:ascii="Arial" w:hAnsi="Arial" w:eastAsia="Arial"/>
          <w:b w:val="0"/>
          <w:i/>
          <w:color w:val="000000"/>
          <w:sz w:val="18"/>
        </w:rPr>
        <w:t xml:space="preserve"> What Does Justice Look Like? The Struggle for Liberation on Dakota Homeland.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 Living Justice Press. </w:t>
      </w:r>
      <w:r>
        <w:rPr>
          <w:rFonts w:ascii="Arial" w:hAnsi="Arial" w:eastAsia="Arial"/>
          <w:b w:val="0"/>
          <w:i w:val="0"/>
          <w:color w:val="000000"/>
          <w:sz w:val="18"/>
        </w:rPr>
        <w:t>2008.</w:t>
      </w:r>
    </w:p>
    <w:p>
      <w:pPr>
        <w:autoSpaceDN w:val="0"/>
        <w:autoSpaceDE w:val="0"/>
        <w:widowControl/>
        <w:spacing w:line="254" w:lineRule="auto" w:before="274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>Wilder, Craig.</w:t>
      </w:r>
      <w:r>
        <w:rPr>
          <w:rFonts w:ascii="Arial" w:hAnsi="Arial" w:eastAsia="Arial"/>
          <w:b w:val="0"/>
          <w:i/>
          <w:color w:val="000000"/>
          <w:sz w:val="18"/>
        </w:rPr>
        <w:t xml:space="preserve"> Ebony and Ivory: Race, Slavery, and the Troubled History of America’s Universities.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 Bloomsbury Press. </w:t>
      </w:r>
      <w:r>
        <w:rPr>
          <w:rFonts w:ascii="Arial" w:hAnsi="Arial" w:eastAsia="Arial"/>
          <w:b w:val="0"/>
          <w:i w:val="0"/>
          <w:color w:val="000000"/>
          <w:sz w:val="18"/>
        </w:rPr>
        <w:t>2013.</w:t>
      </w:r>
    </w:p>
    <w:p>
      <w:pPr>
        <w:autoSpaceDN w:val="0"/>
        <w:autoSpaceDE w:val="0"/>
        <w:widowControl/>
        <w:spacing w:line="235" w:lineRule="auto" w:before="276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>Yusoff, K. (2018).</w:t>
      </w:r>
      <w:r>
        <w:rPr>
          <w:rFonts w:ascii="Arial" w:hAnsi="Arial" w:eastAsia="Arial"/>
          <w:b w:val="0"/>
          <w:i/>
          <w:color w:val="000000"/>
          <w:sz w:val="18"/>
        </w:rPr>
        <w:t xml:space="preserve"> A Billion Black Anthropocenes or None</w:t>
      </w:r>
      <w:r>
        <w:rPr>
          <w:rFonts w:ascii="Arial" w:hAnsi="Arial" w:eastAsia="Arial"/>
          <w:b w:val="0"/>
          <w:i w:val="0"/>
          <w:color w:val="000000"/>
          <w:sz w:val="18"/>
        </w:rPr>
        <w:t>. University of Minnesota Press.</w:t>
      </w:r>
    </w:p>
    <w:p>
      <w:pPr>
        <w:autoSpaceDN w:val="0"/>
        <w:autoSpaceDE w:val="0"/>
        <w:widowControl/>
        <w:spacing w:line="262" w:lineRule="auto" w:before="754" w:after="0"/>
        <w:ind w:left="1440" w:right="432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American Indian Studies Classes Offered At The UMN TC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AMIN 1001: Introduction to American Indian &amp; Indigenous Peoples </w:t>
      </w:r>
      <w:r>
        <w:rPr>
          <w:rFonts w:ascii="Arial" w:hAnsi="Arial" w:eastAsia="Arial"/>
          <w:b w:val="0"/>
          <w:i w:val="0"/>
          <w:color w:val="000000"/>
          <w:sz w:val="22"/>
        </w:rPr>
        <w:t>AMIN 1002: Indigenous Peoples in Global Perspective</w:t>
      </w:r>
    </w:p>
    <w:p>
      <w:pPr>
        <w:autoSpaceDN w:val="0"/>
        <w:autoSpaceDE w:val="0"/>
        <w:widowControl/>
        <w:spacing w:line="233" w:lineRule="auto" w:before="566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>13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tabs>
          <w:tab w:pos="9788" w:val="left"/>
        </w:tabs>
        <w:autoSpaceDE w:val="0"/>
        <w:widowControl/>
        <w:spacing w:line="230" w:lineRule="auto" w:before="72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Student Response Letter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Jan. 2021</w:t>
      </w:r>
    </w:p>
    <w:p>
      <w:pPr>
        <w:autoSpaceDN w:val="0"/>
        <w:autoSpaceDE w:val="0"/>
        <w:widowControl/>
        <w:spacing w:line="269" w:lineRule="auto" w:before="476" w:after="0"/>
        <w:ind w:left="1440" w:right="244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AMIN 1003: American Indians in Minnesota***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AMIN 3312: American Indian Environmental Issues and Ecological Perspectives***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AMIN 3872: American Indian History: 1830 to the Present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AMIN 3711: Dakota Culture and History***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AMIN 5409: American Indian Women: Ethnographic and Ethnohistorical Perspectives </w:t>
      </w:r>
      <w:r>
        <w:rPr>
          <w:rFonts w:ascii="Arial" w:hAnsi="Arial" w:eastAsia="Arial"/>
          <w:b w:val="0"/>
          <w:i w:val="0"/>
          <w:color w:val="000000"/>
          <w:sz w:val="22"/>
        </w:rPr>
        <w:t>AMIN 8301: Critical Indigenous Theory</w:t>
      </w:r>
    </w:p>
    <w:p>
      <w:pPr>
        <w:autoSpaceDN w:val="0"/>
        <w:autoSpaceDE w:val="0"/>
        <w:widowControl/>
        <w:spacing w:line="233" w:lineRule="auto" w:before="11688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>14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tabs>
          <w:tab w:pos="9788" w:val="left"/>
        </w:tabs>
        <w:autoSpaceDE w:val="0"/>
        <w:widowControl/>
        <w:spacing w:line="230" w:lineRule="auto" w:before="728" w:after="0"/>
        <w:ind w:left="14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Student Response Letter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Jan. 2021</w:t>
      </w:r>
    </w:p>
    <w:p>
      <w:pPr>
        <w:autoSpaceDN w:val="0"/>
        <w:autoSpaceDE w:val="0"/>
        <w:widowControl/>
        <w:spacing w:line="230" w:lineRule="auto" w:before="476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Departmental Communication Appendix</w:t>
      </w:r>
    </w:p>
    <w:p>
      <w:pPr>
        <w:autoSpaceDN w:val="0"/>
        <w:tabs>
          <w:tab w:pos="1800" w:val="left"/>
          <w:tab w:pos="2160" w:val="left"/>
          <w:tab w:pos="2520" w:val="left"/>
          <w:tab w:pos="2880" w:val="left"/>
        </w:tabs>
        <w:autoSpaceDE w:val="0"/>
        <w:widowControl/>
        <w:spacing w:line="264" w:lineRule="auto" w:before="338" w:after="0"/>
        <w:ind w:left="1440" w:right="144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Short Guides External to the Grad Handbook that could be created: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Funding Options and Opportunities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Departmental Fellowships - Information for both grads and undergrads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where to look for this information.</w:t>
      </w:r>
    </w:p>
    <w:p>
      <w:pPr>
        <w:autoSpaceDN w:val="0"/>
        <w:tabs>
          <w:tab w:pos="2880" w:val="left"/>
          <w:tab w:pos="3082" w:val="left"/>
          <w:tab w:pos="3130" w:val="left"/>
          <w:tab w:pos="3600" w:val="left"/>
        </w:tabs>
        <w:autoSpaceDE w:val="0"/>
        <w:widowControl/>
        <w:spacing w:line="266" w:lineRule="auto" w:before="44" w:after="0"/>
        <w:ind w:left="252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b.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Paid Grad Positions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Seminar Speaker Coordinator, CSE Graduate Coordinator, Prospective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Graduate Visit Weekend Coordinator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ii.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Amount paid for each, how to inquire about each position, and job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description.</w:t>
      </w:r>
    </w:p>
    <w:p>
      <w:pPr>
        <w:autoSpaceDN w:val="0"/>
        <w:tabs>
          <w:tab w:pos="2160" w:val="left"/>
        </w:tabs>
        <w:autoSpaceDE w:val="0"/>
        <w:widowControl/>
        <w:spacing w:line="262" w:lineRule="auto" w:before="46" w:after="22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List of Departmental Courses and How They are Offered (yearly/semesterly/by faculty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availability?) and List of Relevant Departments to Consider for Additional Course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Offerings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080"/>
        <w:gridCol w:w="4080"/>
        <w:gridCol w:w="4080"/>
      </w:tblGrid>
      <w:tr>
        <w:trPr>
          <w:trHeight w:hRule="exact" w:val="282"/>
        </w:trPr>
        <w:tc>
          <w:tcPr>
            <w:tcW w:type="dxa" w:w="1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22" w:after="0"/>
              <w:ind w:left="900" w:right="7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3.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4.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5.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6.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7.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8.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9.</w:t>
            </w:r>
          </w:p>
        </w:tc>
        <w:tc>
          <w:tcPr>
            <w:tcW w:type="dxa" w:w="8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Department Committees and their Leaders.</w:t>
            </w:r>
          </w:p>
        </w:tc>
      </w:tr>
      <w:tr>
        <w:trPr>
          <w:trHeight w:hRule="exact" w:val="280"/>
        </w:trPr>
        <w:tc>
          <w:tcPr>
            <w:tcW w:type="dxa" w:w="4080"/>
            <w:vMerge/>
            <w:tcBorders/>
          </w:tcPr>
          <w:p/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a.</w:t>
            </w:r>
          </w:p>
        </w:tc>
        <w:tc>
          <w:tcPr>
            <w:tcW w:type="dxa" w:w="8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How to get involved</w:t>
            </w:r>
          </w:p>
        </w:tc>
      </w:tr>
      <w:tr>
        <w:trPr>
          <w:trHeight w:hRule="exact" w:val="300"/>
        </w:trPr>
        <w:tc>
          <w:tcPr>
            <w:tcW w:type="dxa" w:w="4080"/>
            <w:vMerge/>
            <w:tcBorders/>
          </w:tcPr>
          <w:p/>
        </w:tc>
        <w:tc>
          <w:tcPr>
            <w:tcW w:type="dxa" w:w="8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Accounting Frequently Asked Questions</w:t>
            </w:r>
          </w:p>
        </w:tc>
      </w:tr>
      <w:tr>
        <w:trPr>
          <w:trHeight w:hRule="exact" w:val="300"/>
        </w:trPr>
        <w:tc>
          <w:tcPr>
            <w:tcW w:type="dxa" w:w="4080"/>
            <w:vMerge/>
            <w:tcBorders/>
          </w:tcPr>
          <w:p/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a.</w:t>
            </w:r>
          </w:p>
        </w:tc>
        <w:tc>
          <w:tcPr>
            <w:tcW w:type="dxa" w:w="8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E.g., Reimbursements, P-Cards, etc.</w:t>
            </w:r>
          </w:p>
        </w:tc>
      </w:tr>
      <w:tr>
        <w:trPr>
          <w:trHeight w:hRule="exact" w:val="1440"/>
        </w:trPr>
        <w:tc>
          <w:tcPr>
            <w:tcW w:type="dxa" w:w="4080"/>
            <w:vMerge/>
            <w:tcBorders/>
          </w:tcPr>
          <w:p/>
        </w:tc>
        <w:tc>
          <w:tcPr>
            <w:tcW w:type="dxa" w:w="8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4" w:after="0"/>
              <w:ind w:left="100" w:right="172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Package Pickup and Shipping Guide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External Departments Relevant for Collaboration, Course Offerings, etc.</w:t>
            </w:r>
          </w:p>
          <w:p>
            <w:pPr>
              <w:autoSpaceDN w:val="0"/>
              <w:autoSpaceDE w:val="0"/>
              <w:widowControl/>
              <w:spacing w:line="262" w:lineRule="auto" w:before="46" w:after="0"/>
              <w:ind w:left="100" w:right="345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Field Camp Guide / Classes that require camping gear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Courses with Extra Fees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Student Fees Each Semester</w:t>
            </w:r>
          </w:p>
        </w:tc>
      </w:tr>
      <w:tr>
        <w:trPr>
          <w:trHeight w:hRule="exact" w:val="344"/>
        </w:trPr>
        <w:tc>
          <w:tcPr>
            <w:tcW w:type="dxa" w:w="4080"/>
            <w:vMerge/>
            <w:tcBorders/>
          </w:tcPr>
          <w:p/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7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a.</w:t>
            </w:r>
          </w:p>
        </w:tc>
        <w:tc>
          <w:tcPr>
            <w:tcW w:type="dxa" w:w="8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Including what will be covered by the department or college and when.</w:t>
            </w:r>
          </w:p>
        </w:tc>
      </w:tr>
    </w:tbl>
    <w:p>
      <w:pPr>
        <w:autoSpaceDN w:val="0"/>
        <w:autoSpaceDE w:val="0"/>
        <w:widowControl/>
        <w:spacing w:line="233" w:lineRule="auto" w:before="6392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>15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i.umn.edu/events" TargetMode="External"/><Relationship Id="rId10" Type="http://schemas.openxmlformats.org/officeDocument/2006/relationships/hyperlink" Target="https://cei.umn.edu/consultation-services" TargetMode="External"/><Relationship Id="rId11" Type="http://schemas.openxmlformats.org/officeDocument/2006/relationships/hyperlink" Target="https://www.insidehighered.com/advice/2020/06/03/seven-recommendations-helping-students-thrive-times-trauma" TargetMode="External"/><Relationship Id="rId12" Type="http://schemas.openxmlformats.org/officeDocument/2006/relationships/hyperlink" Target="https://www.povertyinformedpractice.com/" TargetMode="External"/><Relationship Id="rId13" Type="http://schemas.openxmlformats.org/officeDocument/2006/relationships/hyperlink" Target="https://cei.umn.edu/aligned-course-design" TargetMode="External"/><Relationship Id="rId14" Type="http://schemas.openxmlformats.org/officeDocument/2006/relationships/hyperlink" Target="https://drive.google.com/file/d/1O_TBNJtRilD96mBiE8VgdAauI7rk52y8/view" TargetMode="External"/><Relationship Id="rId15" Type="http://schemas.openxmlformats.org/officeDocument/2006/relationships/hyperlink" Target="https://www.umass.edu/ctl/inclusive-syllabus-design" TargetMode="External"/><Relationship Id="rId16" Type="http://schemas.openxmlformats.org/officeDocument/2006/relationships/hyperlink" Target="https://drive.google.com/file/d/1hUhQxYZXVNiGA07Tozjy7Knr9XTcLBDa/view?usp=sharing" TargetMode="External"/><Relationship Id="rId17" Type="http://schemas.openxmlformats.org/officeDocument/2006/relationships/hyperlink" Target="https://it.umn.edu/news-alerts/news/student-insights-pandemic-remote" TargetMode="External"/><Relationship Id="rId18" Type="http://schemas.openxmlformats.org/officeDocument/2006/relationships/hyperlink" Target="https://www.lifescied.org/doi/10.1187/cbe.19-04-0079" TargetMode="External"/><Relationship Id="rId19" Type="http://schemas.openxmlformats.org/officeDocument/2006/relationships/hyperlink" Target="https://cei.umn.edu/early-term-feedback-teaching" TargetMode="External"/><Relationship Id="rId20" Type="http://schemas.openxmlformats.org/officeDocument/2006/relationships/hyperlink" Target="https://www.cambridge.org/elt/blog/2020/10/09/online-teaching-preventing-the-risk-of-cognitive-overload/" TargetMode="External"/><Relationship Id="rId21" Type="http://schemas.openxmlformats.org/officeDocument/2006/relationships/hyperlink" Target="https://www.rei.com/learn/series/intro-to-camping" TargetMode="External"/><Relationship Id="rId22" Type="http://schemas.openxmlformats.org/officeDocument/2006/relationships/hyperlink" Target="https://doi.org/10.1038/s41559-020-01328-5" TargetMode="External"/><Relationship Id="rId23" Type="http://schemas.openxmlformats.org/officeDocument/2006/relationships/hyperlink" Target="https://drive.google.com/file/d/1g1QVh0u5RI6eOCugGw4wVeRumScsh4Ie/view?usp=sharing" TargetMode="External"/><Relationship Id="rId24" Type="http://schemas.openxmlformats.org/officeDocument/2006/relationships/hyperlink" Target="https://mineralogy.digital.brynmawr.edu/blog/geology-colonialism-reading-list/" TargetMode="External"/><Relationship Id="rId25" Type="http://schemas.openxmlformats.org/officeDocument/2006/relationships/hyperlink" Target="https://drive.google.com/file/d/1T3HoqfAe7tbKB1JmpY0jh0J1QX4l-PNa/view" TargetMode="External"/><Relationship Id="rId26" Type="http://schemas.openxmlformats.org/officeDocument/2006/relationships/hyperlink" Target="https://www.plu.edu/environmental-studies/wp-content/uploads/sites/103/2020/06/reading-list_-instersectional-environmentalism_environmental-justice_june-2020.pdf" TargetMode="External"/><Relationship Id="rId27" Type="http://schemas.openxmlformats.org/officeDocument/2006/relationships/hyperlink" Target="http://ceed.org/twin-cities-environmental-justice-mapping-tool-released/" TargetMode="External"/><Relationship Id="rId28" Type="http://schemas.openxmlformats.org/officeDocument/2006/relationships/hyperlink" Target="https://serc.berkeley.edu/environmental-justice/" TargetMode="External"/><Relationship Id="rId29" Type="http://schemas.openxmlformats.org/officeDocument/2006/relationships/hyperlink" Target="https://notimeforsilence.org/" TargetMode="External"/><Relationship Id="rId30" Type="http://schemas.openxmlformats.org/officeDocument/2006/relationships/hyperlink" Target="https://aipgmn.org/Racial_Justice_and_Geology_Resources" TargetMode="External"/><Relationship Id="rId31" Type="http://schemas.openxmlformats.org/officeDocument/2006/relationships/hyperlink" Target="http://www.columbia.edu/cu/EJ/Reports_Linked_Pages/EJ_principles.pdf" TargetMode="External"/><Relationship Id="rId32" Type="http://schemas.openxmlformats.org/officeDocument/2006/relationships/hyperlink" Target="https://mailchi.mp/573e6c840eb8/statement-on-the-unfortunate-death-of-george-floyd-1368446?e=f97932a42c" TargetMode="External"/><Relationship Id="rId33" Type="http://schemas.openxmlformats.org/officeDocument/2006/relationships/hyperlink" Target="https://cla.umn.edu/about/directory/profile/ohni0001" TargetMode="External"/><Relationship Id="rId34" Type="http://schemas.openxmlformats.org/officeDocument/2006/relationships/hyperlink" Target="http://collections.mnhs.org/MNHistoryMagazine/articles/53/v53i01p009-024.pdf" TargetMode="External"/><Relationship Id="rId35" Type="http://schemas.openxmlformats.org/officeDocument/2006/relationships/hyperlink" Target="https://www.hcn.org/issues/52.4/indigenous-affairs-education-land-grab-univers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