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exact" w:before="1502" w:after="0"/>
        <w:ind w:left="144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Dear AOS faculty and administration, </w:t>
      </w:r>
    </w:p>
    <w:p>
      <w:pPr>
        <w:autoSpaceDN w:val="0"/>
        <w:autoSpaceDE w:val="0"/>
        <w:widowControl/>
        <w:spacing w:line="284" w:lineRule="exact" w:before="284" w:after="0"/>
        <w:ind w:left="1440" w:right="1444" w:firstLine="72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senseless murders of George Floyd, Breonna Taylor, Ahmaud Arbery, Tony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McDade, and so many others, as well as the disproportionate health and economic impacts of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COVID-19, have exposed the underbelly of systemic racism that pervades our society and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institutions. In solidarity with many other graduate students at UCLA, we ask that the climate of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our own academic department be addressed. </w:t>
      </w:r>
    </w:p>
    <w:p>
      <w:pPr>
        <w:autoSpaceDN w:val="0"/>
        <w:tabs>
          <w:tab w:pos="2160" w:val="left"/>
        </w:tabs>
        <w:autoSpaceDE w:val="0"/>
        <w:widowControl/>
        <w:spacing w:line="284" w:lineRule="exact" w:before="286" w:after="0"/>
        <w:ind w:left="1440" w:right="1440" w:firstLine="0"/>
        <w:jc w:val="left"/>
      </w:pP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Issues with diversity and inclusion in the AOS department have existed for decades. Our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current understanding of AOS diversity statistics are: </w:t>
      </w:r>
    </w:p>
    <w:p>
      <w:pPr>
        <w:autoSpaceDN w:val="0"/>
        <w:autoSpaceDE w:val="0"/>
        <w:widowControl/>
        <w:spacing w:line="284" w:lineRule="exact" w:before="264" w:after="0"/>
        <w:ind w:left="2250" w:right="2162" w:firstLine="0"/>
        <w:jc w:val="both"/>
      </w:pP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“The faculty of AOS are 80% male and 90% White or Asian-Pacific Islander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(API) (non-Latinx). Of the 45-50 majors, 55% are male and 80% are White/API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(non-Latinx). Of the 40 graduate students, 60% are male and 90% are White/API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(non-Latinx). Of the 2020 cohort, 1 of the 12 graduate students is an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under-represented minority.” </w:t>
      </w:r>
    </w:p>
    <w:p>
      <w:pPr>
        <w:autoSpaceDN w:val="0"/>
        <w:autoSpaceDE w:val="0"/>
        <w:widowControl/>
        <w:spacing w:line="286" w:lineRule="exact" w:before="304" w:after="0"/>
        <w:ind w:left="1440" w:right="1442" w:firstLine="72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Currently, AOS is overwhelmingly composed of white and male faculty and researchers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and white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graduate students. For undergraduates, the major and minor also fail to recruit and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retain underrepresented minorities. The few under-represented minorities in AOS have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experienced tokenism, isolation, violence, power imbalances, and lack of support for their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retention through the program which have affected their performance and graduate experience.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Additionally, many international students have felt alienation, isolation, and a lack of cultural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sensitivity in the department. These shared and regular experiences have created an unhealthy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climate within the department. In the recent 8-year departmental review, the department was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urged to ‘explore ways in which the department can increase diversity [at all levels, from student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to faculty, and in all metrics], bolster morale, and be more inclusive of graduate students.’ We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are disappointed and frustrated that, despite several attempts from different students, little to no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actions have been taken to address the lack of diversity and climate of the department. The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overwhelming disparity in representation within our department at all levels is an apparent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indicator that the department’s efforts to increase diversity are not sufficient. </w:t>
      </w:r>
    </w:p>
    <w:p>
      <w:pPr>
        <w:autoSpaceDN w:val="0"/>
        <w:autoSpaceDE w:val="0"/>
        <w:widowControl/>
        <w:spacing w:line="284" w:lineRule="exact" w:before="284" w:after="0"/>
        <w:ind w:left="1440" w:right="1442" w:firstLine="72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responsibility of addressing diversity problems in AOS should not fall directly on the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shoulders of graduate students, especially students of color, and a select few faculty on the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diversity committee. The underrepresented minority graduate students already disproportionately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spend their time and energy on unpaid diversity work and mentoring because the AOS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department does not have the diverse faculty to do so. We want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>all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 faculty to actively engage in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and come up with solutions to address these problems. It is necessary for the future of the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department and the well-being, performance, and outcomes of students of color at all levels. </w:t>
      </w:r>
    </w:p>
    <w:p>
      <w:pPr>
        <w:autoSpaceDN w:val="0"/>
        <w:autoSpaceDE w:val="0"/>
        <w:widowControl/>
        <w:spacing w:line="314" w:lineRule="exact" w:before="256" w:after="0"/>
        <w:ind w:left="1440" w:right="1446" w:firstLine="72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We collectively want actions and accountability for a more diverse, equitable, and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inclusive AOS department. The UC academic council’s statement urged, “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we must listen and,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crucially, do more to combat systemic oppression, including anti-black racism. Our campuses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 xml:space="preserve">have to work harder to be inclusive of, and welcoming to, Black students, along with other </w:t>
      </w:r>
      <w:r>
        <w:rPr>
          <w:rFonts w:ascii="TimesLTPro-Italic" w:hAnsi="TimesLTPro-Italic" w:eastAsia="TimesLTPro-Italic"/>
          <w:b w:val="0"/>
          <w:i/>
          <w:color w:val="000000"/>
          <w:sz w:val="24"/>
        </w:rPr>
        <w:t>groups who have historically been and continue to be victims of police assault and harassment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.”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17298" w:after="0"/>
        <w:ind w:left="1440" w:right="1444" w:firstLine="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actions of the AOS department and faculty cannot be limited to performative gestures like a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moment of silence, fleeting reflections, or echoes of statements that others have written. We ask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that the department move past passive actions to active ones that implement actual changes. We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want accountability to implement these changes. </w:t>
      </w:r>
    </w:p>
    <w:p>
      <w:pPr>
        <w:autoSpaceDN w:val="0"/>
        <w:autoSpaceDE w:val="0"/>
        <w:widowControl/>
        <w:spacing w:line="286" w:lineRule="exact" w:before="284" w:after="0"/>
        <w:ind w:left="144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We collectively ask that you take action on the following points to address the lack of diversity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in the department:</w:t>
      </w:r>
    </w:p>
    <w:p>
      <w:pPr>
        <w:autoSpaceDN w:val="0"/>
        <w:autoSpaceDE w:val="0"/>
        <w:widowControl/>
        <w:spacing w:line="240" w:lineRule="exact" w:before="330" w:after="0"/>
        <w:ind w:left="144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>Immediate actions and accountability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86" w:lineRule="exact" w:before="284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1. Perform a culture survey and climate assessment this summer and use the outcomes to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improve inclusiveness and equity. Upon completion: </w:t>
      </w:r>
      <w:r>
        <w:br/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Perform surveys every two years. </w:t>
      </w:r>
    </w:p>
    <w:p>
      <w:pPr>
        <w:autoSpaceDN w:val="0"/>
        <w:autoSpaceDE w:val="0"/>
        <w:widowControl/>
        <w:spacing w:line="284" w:lineRule="exact" w:before="0" w:after="0"/>
        <w:ind w:left="2880" w:right="1444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Make all climate assessments available to all members of the department, and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create a report responding to all action items and issues outlined in the climate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assessments. </w:t>
      </w:r>
    </w:p>
    <w:p>
      <w:pPr>
        <w:autoSpaceDN w:val="0"/>
        <w:autoSpaceDE w:val="0"/>
        <w:widowControl/>
        <w:spacing w:line="284" w:lineRule="exact" w:before="2" w:after="22"/>
        <w:ind w:left="2160" w:right="1450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2. Mandate that faculty, staff, and students participate in workshops that focus on equity,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inclusion, diversity, anti-racism, and cultural sensitivity once a year through the Center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for Diverse Leadership in Science (CDLS).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28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94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a.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Faculty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with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leadership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roles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should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participate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in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additional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training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288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commensurate with their degrees of responsibility and influence on admissions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and hiring committees.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Require all graduate students to participate in diversity training at the beginning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of each year.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Require TA training to include equity, inclusion, diversity, anti-racism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cultural sensitivity related practices. </w:t>
      </w:r>
    </w:p>
    <w:p>
      <w:pPr>
        <w:autoSpaceDN w:val="0"/>
        <w:tabs>
          <w:tab w:pos="2160" w:val="left"/>
        </w:tabs>
        <w:autoSpaceDE w:val="0"/>
        <w:widowControl/>
        <w:spacing w:line="284" w:lineRule="exact" w:before="2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3. Publish a department statement on the website regarding the murder of George Floyd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police brutality, and publish a diversity statement. </w:t>
      </w:r>
    </w:p>
    <w:p>
      <w:pPr>
        <w:autoSpaceDN w:val="0"/>
        <w:tabs>
          <w:tab w:pos="2880" w:val="left"/>
        </w:tabs>
        <w:autoSpaceDE w:val="0"/>
        <w:widowControl/>
        <w:spacing w:line="290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As a department, sign and adhere to the following: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1154CC"/>
          <w:sz w:val="24"/>
        </w:rPr>
        <w:hyperlink r:id="rId9" w:history="1">
          <w:r>
            <w:rPr>
              <w:rStyle w:val="Hyperlink"/>
            </w:rPr>
            <w:t xml:space="preserve">A Call to Action for an </w:t>
          </w:r>
        </w:hyperlink>
      </w:r>
      <w:r>
        <w:tab/>
      </w:r>
      <w:r>
        <w:rPr>
          <w:rFonts w:ascii="TimesLTPro-Roman" w:hAnsi="TimesLTPro-Roman" w:eastAsia="TimesLTPro-Roman"/>
          <w:b w:val="0"/>
          <w:i w:val="0"/>
          <w:color w:val="1154CC"/>
          <w:sz w:val="24"/>
        </w:rPr>
        <w:hyperlink r:id="rId9" w:history="1">
          <w:r>
            <w:rPr>
              <w:rStyle w:val="Hyperlink"/>
            </w:rPr>
            <w:t>Anti-Racist Science Community from Geoscientists of C</w:t>
          </w:r>
        </w:hyperlink>
      </w:r>
      <w:r>
        <w:rPr>
          <w:rFonts w:ascii="TimesLTPro-Roman" w:hAnsi="TimesLTPro-Roman" w:eastAsia="TimesLTPro-Roman"/>
          <w:b w:val="0"/>
          <w:i w:val="0"/>
          <w:color w:val="1154CC"/>
          <w:sz w:val="24"/>
        </w:rPr>
        <w:hyperlink r:id="rId9" w:history="1">
          <w:r>
            <w:rPr>
              <w:rStyle w:val="Hyperlink"/>
            </w:rPr>
            <w:t xml:space="preserve">olor: Listen, Act, Lead </w:t>
          </w:r>
        </w:hyperlink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Make similar statements for future incidents of discimination. </w:t>
      </w:r>
    </w:p>
    <w:p>
      <w:pPr>
        <w:autoSpaceDN w:val="0"/>
        <w:autoSpaceDE w:val="0"/>
        <w:widowControl/>
        <w:spacing w:line="284" w:lineRule="exact" w:before="0" w:after="0"/>
        <w:ind w:left="2160" w:right="1446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4. Publish an anti-racist and anti-discriminatory code of conduct for the department that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outlines an explicit commitment to recognizing, respecting, and protecting all diverse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members of the department. </w:t>
      </w:r>
    </w:p>
    <w:p>
      <w:pPr>
        <w:autoSpaceDN w:val="0"/>
        <w:tabs>
          <w:tab w:pos="2880" w:val="left"/>
        </w:tabs>
        <w:autoSpaceDE w:val="0"/>
        <w:widowControl/>
        <w:spacing w:line="240" w:lineRule="exact" w:before="46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Outline the procedures for responses to all complaints.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84" w:lineRule="exact" w:before="0" w:after="0"/>
        <w:ind w:left="1800" w:right="1440" w:firstLine="0"/>
        <w:jc w:val="left"/>
      </w:pP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Implement processes of reporting that keep complainants safe from retaliation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5. Restructure the Diversity Committee </w:t>
      </w:r>
      <w:r>
        <w:br/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Open the committee to members dedicated to work this summer on planning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timetables and commitments on the diversity strategic plan that will be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implemented in the Fall of 2020. </w:t>
      </w:r>
    </w:p>
    <w:p>
      <w:pPr>
        <w:autoSpaceDN w:val="0"/>
        <w:autoSpaceDE w:val="0"/>
        <w:widowControl/>
        <w:spacing w:line="240" w:lineRule="exact" w:before="46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Include American faculty who may be more aware of domestic diversity issues.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Create an equitable structure between the faculty and students serving on the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committee. Update the committee structure to three faculty, two graduate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students, and two undergraduate students.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33092" w:after="0"/>
        <w:ind w:left="2160" w:right="1444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6.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Host a town hall with all faculty, and all students to address each of the points 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>outlined in the letter and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>release a statement of commitment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to all members of the 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>department with a timetable and targets.</w:t>
      </w:r>
    </w:p>
    <w:p>
      <w:pPr>
        <w:autoSpaceDN w:val="0"/>
        <w:autoSpaceDE w:val="0"/>
        <w:widowControl/>
        <w:spacing w:line="240" w:lineRule="exact" w:before="90" w:after="0"/>
        <w:ind w:left="252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>a. We ask that the department include a request for diversity dedicated funds</w:t>
      </w:r>
    </w:p>
    <w:p>
      <w:pPr>
        <w:autoSpaceDN w:val="0"/>
        <w:autoSpaceDE w:val="0"/>
        <w:widowControl/>
        <w:spacing w:line="240" w:lineRule="exact" w:before="90" w:after="44"/>
        <w:ind w:left="288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>from the administration (Dean of Division of Physical Sciences, 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3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126" w:firstLine="0"/>
              <w:jc w:val="right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Chancellor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Diversity,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Equity,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Inclusion,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or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other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26" w:right="0" w:firstLine="0"/>
              <w:jc w:val="left"/>
            </w:pPr>
            <w:r>
              <w:rPr>
                <w:rFonts w:ascii="TimesLTPro-Bold" w:hAnsi="TimesLTPro-Bold" w:eastAsia="TimesLTPro-Bold"/>
                <w:b/>
                <w:i w:val="0"/>
                <w:color w:val="000000"/>
                <w:sz w:val="24"/>
              </w:rPr>
              <w:t>UCLA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288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administration) in the statement of commitment. </w:t>
      </w:r>
    </w:p>
    <w:p>
      <w:pPr>
        <w:autoSpaceDN w:val="0"/>
        <w:autoSpaceDE w:val="0"/>
        <w:widowControl/>
        <w:spacing w:line="240" w:lineRule="exact" w:before="374" w:after="0"/>
        <w:ind w:left="144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  <w:u w:val="single"/>
        </w:rPr>
        <w:t>Transparency and Data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84" w:lineRule="exact" w:before="284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7.  Be transparent and public about diversity data on the AOS website </w:t>
      </w:r>
      <w:r>
        <w:br/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Make public faculty and student diversity broken down by race, ethnicity,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gender.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Make public acceptance rates, graduation rates, and time to degree for all students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broken down by student race, ethnicity, and gender.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84" w:lineRule="exact" w:before="2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8. Track progress against traceable metrics that holds the department accountable. </w:t>
      </w:r>
      <w:r>
        <w:br/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Communicate and coordinate discussions outlining what is expected of members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a.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of the department in the code of conduct at faculty and departmental meetings.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Notify all members of the department regarding their duties related to upholding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code of conduct.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Implement processes for reporting violations that keep reportees safe from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retaliation.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d. Take all necessary measures to support victims of racist and discriminatory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incidents.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e.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Follow through on all outlined consequences to all racist and discriminatory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incidents as outlined by the code.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f.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Send an annual report to the faculty, students, and staff outlining all incidents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reported to the department, along with how the department managed all incidents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to increase transparency in the process. </w:t>
      </w:r>
    </w:p>
    <w:p>
      <w:pPr>
        <w:autoSpaceDN w:val="0"/>
        <w:autoSpaceDE w:val="0"/>
        <w:widowControl/>
        <w:spacing w:line="240" w:lineRule="exact" w:before="330" w:after="0"/>
        <w:ind w:left="144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>Institutional Support and Retention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86" w:lineRule="exact" w:before="284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9. Create a point of contact for all members of the department who is responsible for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recording, communicating, and executing responses to all complaints.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This person would be responsible for sending yearly communications to all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members of the department outlining any reporting that occurred and how the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department conducted themselves in response. </w:t>
      </w:r>
    </w:p>
    <w:p>
      <w:pPr>
        <w:autoSpaceDN w:val="0"/>
        <w:autoSpaceDE w:val="0"/>
        <w:widowControl/>
        <w:spacing w:line="284" w:lineRule="exact" w:before="2" w:after="0"/>
        <w:ind w:left="2160" w:right="1442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10. Challenge and eliminate racist policies, such as admissions policies and practices that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systematically exclude Black students and other students of color. Implement practices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that promote equity across the board.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Draw from, partner, and credit the best practices of successful programs at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HBCUs, MSIs, Tribal Colleges and Community Colleges. </w:t>
      </w:r>
    </w:p>
    <w:p>
      <w:pPr>
        <w:autoSpaceDN w:val="0"/>
        <w:autoSpaceDE w:val="0"/>
        <w:widowControl/>
        <w:spacing w:line="240" w:lineRule="exact" w:before="44" w:after="24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Eliminate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FF"/>
          <w:sz w:val="24"/>
        </w:rPr>
        <w:t>normative</w:t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grading</w:t>
          </w:r>
        </w:hyperlink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302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94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c.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0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Remove the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LTPro-Roman" w:hAnsi="TimesLTPro-Roman" w:eastAsia="TimesLTPro-Roman"/>
                <w:b w:val="0"/>
                <w:i w:val="0"/>
                <w:color w:val="0000FF"/>
                <w:sz w:val="24"/>
              </w:rPr>
              <w:hyperlink r:id="rId11" w:history="1">
                <w:r>
                  <w:rPr>
                    <w:rStyle w:val="Hyperlink"/>
                  </w:rPr>
                  <w:t>GRE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0000FF"/>
                <w:sz w:val="24"/>
              </w:rPr>
              <w:t>​</w:t>
            </w: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 as a graduate program entrance requirement.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89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080"/>
        <w:gridCol w:w="4080"/>
        <w:gridCol w:w="4080"/>
      </w:tblGrid>
      <w:tr>
        <w:trPr>
          <w:trHeight w:hRule="exact" w:val="294"/>
        </w:trPr>
        <w:tc>
          <w:tcPr>
            <w:tcW w:type="dxa" w:w="10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26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d. Require inclusive and equitable classroom practices. </w:t>
            </w:r>
          </w:p>
        </w:tc>
      </w:tr>
      <w:tr>
        <w:trPr>
          <w:trHeight w:hRule="exact" w:val="584"/>
        </w:trPr>
        <w:tc>
          <w:tcPr>
            <w:tcW w:type="dxa" w:w="15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98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e.</w:t>
            </w:r>
          </w:p>
        </w:tc>
        <w:tc>
          <w:tcPr>
            <w:tcW w:type="dxa" w:w="87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8" w:after="0"/>
              <w:ind w:left="96" w:right="576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Adopt the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 xml:space="preserve"> ​</w:t>
            </w:r>
            <w:r>
              <w:rPr>
                <w:rFonts w:ascii="TimesLTPro-Roman" w:hAnsi="TimesLTPro-Roman" w:eastAsia="TimesLTPro-Roman"/>
                <w:b w:val="0"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EQUIP</w:t>
                </w:r>
              </w:hyperlink>
            </w: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 teaching app which helps educators understand and combat </w:t>
            </w: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implicit bias in the classroom. </w:t>
            </w:r>
          </w:p>
        </w:tc>
      </w:tr>
      <w:tr>
        <w:trPr>
          <w:trHeight w:hRule="exact" w:val="298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f.</w:t>
            </w:r>
          </w:p>
        </w:tc>
        <w:tc>
          <w:tcPr>
            <w:tcW w:type="dxa" w:w="8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22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Provide equitable access to mentoring and inclusive administrative practices. 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g. Require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FF"/>
          <w:sz w:val="24"/>
        </w:rPr>
        <w:hyperlink r:id="rId13" w:history="1">
          <w:r>
            <w:rPr>
              <w:rStyle w:val="Hyperlink"/>
            </w:rPr>
            <w:t>training</w:t>
          </w:r>
        </w:hyperlink>
      </w:r>
      <w:r>
        <w:rPr>
          <w:rFonts w:ascii="Gautami" w:hAnsi="Gautami" w:eastAsia="Gautami"/>
          <w:b w:val="0"/>
          <w:i w:val="0"/>
          <w:color w:val="0000FF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 for implicit bias for the graduate and undergraduate committees.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h. Adopt a high school to increase recruitment from diverse backgrounds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actively engage in recruiting graduate students . </w:t>
      </w:r>
    </w:p>
    <w:p>
      <w:pPr>
        <w:autoSpaceDN w:val="0"/>
        <w:autoSpaceDE w:val="0"/>
        <w:widowControl/>
        <w:spacing w:line="284" w:lineRule="exact" w:before="0" w:after="0"/>
        <w:ind w:left="2160" w:right="1442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11. Make it a personal matter to champion and advocate for the complete inclusion of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students of color as important and necessary participants in all decision-making matters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that affect them rather than making decisions on their behalf. </w:t>
      </w:r>
    </w:p>
    <w:p>
      <w:pPr>
        <w:autoSpaceDN w:val="0"/>
        <w:tabs>
          <w:tab w:pos="2880" w:val="left"/>
        </w:tabs>
        <w:autoSpaceDE w:val="0"/>
        <w:widowControl/>
        <w:spacing w:line="240" w:lineRule="exact" w:before="46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Include students in admissions and faculty hiring decisions. </w:t>
      </w:r>
    </w:p>
    <w:p>
      <w:pPr>
        <w:autoSpaceDN w:val="0"/>
        <w:tabs>
          <w:tab w:pos="2880" w:val="left"/>
        </w:tabs>
        <w:autoSpaceDE w:val="0"/>
        <w:widowControl/>
        <w:spacing w:line="286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Include students’ opinions in seminar speakers (beyond the student selected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seminar). </w:t>
      </w:r>
    </w:p>
    <w:p>
      <w:pPr>
        <w:autoSpaceDN w:val="0"/>
        <w:autoSpaceDE w:val="0"/>
        <w:widowControl/>
        <w:spacing w:line="284" w:lineRule="exact" w:before="0" w:after="0"/>
        <w:ind w:left="2160" w:right="1444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12. Cultivate an environment and practices that are inclusive and not simply a superficial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response to the systemic exclusion of Black, Indigenous, Latinx, Asian/Pacific Islander,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and international groups.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Eliminate any tokenism of BIPOC and historically marginalized students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faculty in the department, show accurate representations of the composition of the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department in all promotional and website materials. </w:t>
      </w:r>
    </w:p>
    <w:p>
      <w:pPr>
        <w:autoSpaceDN w:val="0"/>
        <w:autoSpaceDE w:val="0"/>
        <w:widowControl/>
        <w:spacing w:line="240" w:lineRule="exact" w:before="44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Engage in events that promote diverse backgrounds and cultures.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84" w:lineRule="exact" w:before="2" w:after="0"/>
        <w:ind w:left="1800" w:right="1440" w:firstLine="0"/>
        <w:jc w:val="left"/>
      </w:pP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Provide more outside resources and partnerships to allow students and faculty to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engage in (ex National Technical Association, SACNAS, etc.) </w:t>
      </w:r>
      <w:r>
        <w:br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13. Implement meaningful and robust mentoring and retention programs. Implementation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requires adequate resources, including funding and diverse staff. </w:t>
      </w:r>
    </w:p>
    <w:p>
      <w:pPr>
        <w:autoSpaceDN w:val="0"/>
        <w:autoSpaceDE w:val="0"/>
        <w:widowControl/>
        <w:spacing w:line="240" w:lineRule="exact" w:before="46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Such support mechanisms must serve the culturally-specific needs of Black,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a.</w:t>
      </w:r>
    </w:p>
    <w:p>
      <w:pPr>
        <w:autoSpaceDN w:val="0"/>
        <w:autoSpaceDE w:val="0"/>
        <w:widowControl/>
        <w:spacing w:line="240" w:lineRule="exact" w:before="44" w:after="0"/>
        <w:ind w:left="288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Indigenous, Latinx, and Asian/Pacific Islander students.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Support the student-led AOS mentorship program created for step-ahead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mentorship for undergraduate by graduate students.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296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Nominate a faculty advisor for the program, and require all mentors to undergo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additional implicit bias and diversity training. Hold graduate mentors accountable. </w:t>
      </w:r>
    </w:p>
    <w:p>
      <w:pPr>
        <w:autoSpaceDN w:val="0"/>
        <w:tabs>
          <w:tab w:pos="2160" w:val="left"/>
        </w:tabs>
        <w:autoSpaceDE w:val="0"/>
        <w:widowControl/>
        <w:spacing w:line="284" w:lineRule="exact" w:before="2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14. Commit to hiring, promoting, supporting, and retaining graduate students, postdocs,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faculty of color.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Through conversations, we have learned that the department hires based on the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distribution of people who apply. This does not address the leaky pipeline in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academia which disadvantages historically marginalized communities and people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of color. </w:t>
      </w:r>
    </w:p>
    <w:p>
      <w:pPr>
        <w:autoSpaceDN w:val="0"/>
        <w:autoSpaceDE w:val="0"/>
        <w:widowControl/>
        <w:spacing w:line="284" w:lineRule="exact" w:before="2" w:after="0"/>
        <w:ind w:left="2880" w:right="1440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Targeted recruitment, including through postdoctoral fellowship programs,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advertising very broadly, and other strategic approaches have worked in other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STEM departments and we ask that we implement similar techniques.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Allocation of diversity dedicated funds used specifically to hire faculty and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students from underrepresented minorities.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0" w:after="22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d. Send transparent reports of new faculty hires to the entire department including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distribution of applicants.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302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94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e.</w:t>
            </w:r>
          </w:p>
        </w:tc>
        <w:tc>
          <w:tcPr>
            <w:tcW w:type="dxa" w:w="8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0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 xml:space="preserve">Read diversity and personal statements as the first step in evaluating candidates.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48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6120"/>
        <w:gridCol w:w="6120"/>
      </w:tblGrid>
      <w:tr>
        <w:trPr>
          <w:trHeight w:hRule="exact" w:val="322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00" w:firstLine="0"/>
              <w:jc w:val="righ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f.</w:t>
            </w:r>
          </w:p>
        </w:tc>
        <w:tc>
          <w:tcPr>
            <w:tcW w:type="dxa" w:w="8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20" w:right="0" w:firstLine="0"/>
              <w:jc w:val="left"/>
            </w:pPr>
            <w:r>
              <w:rPr>
                <w:rFonts w:ascii="TimesLTPro-Roman" w:hAnsi="TimesLTPro-Roman" w:eastAsia="TimesLTPro-Roman"/>
                <w:b w:val="0"/>
                <w:i w:val="0"/>
                <w:color w:val="000000"/>
                <w:sz w:val="24"/>
              </w:rPr>
              <w:t>Address barriers in promotions and faculty hires that prevent applicants from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2880" w:right="1446" w:firstLine="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applying (ie. disparities in NSF awards that contribute to low publication numbers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and research impacts). This trend of NSF awards is well reported at the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TimesLTPro-Roman" w:hAnsi="TimesLTPro-Roman" w:eastAsia="TimesLTPro-Roman"/>
          <w:b w:val="0"/>
          <w:i w:val="0"/>
          <w:color w:val="1154CC"/>
          <w:sz w:val="24"/>
        </w:rPr>
        <w:hyperlink r:id="rId14" w:history="1">
          <w:r>
            <w:rPr>
              <w:rStyle w:val="Hyperlink"/>
            </w:rPr>
            <w:t xml:space="preserve">graduate </w:t>
          </w:r>
        </w:hyperlink>
      </w:r>
      <w:r>
        <w:rPr>
          <w:rFonts w:ascii="TimesLTPro-Roman" w:hAnsi="TimesLTPro-Roman" w:eastAsia="TimesLTPro-Roman"/>
          <w:b w:val="0"/>
          <w:i w:val="0"/>
          <w:color w:val="1154CC"/>
          <w:sz w:val="24"/>
        </w:rPr>
        <w:hyperlink r:id="rId14" w:history="1">
          <w:r>
            <w:rPr>
              <w:rStyle w:val="Hyperlink"/>
            </w:rPr>
            <w:t>student level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exact" w:before="616" w:after="0"/>
        <w:ind w:left="1440" w:right="0" w:firstLine="0"/>
        <w:jc w:val="left"/>
      </w:pPr>
      <w:r>
        <w:rPr>
          <w:rFonts w:ascii="TimesLTPro-Bold" w:hAnsi="TimesLTPro-Bold" w:eastAsia="TimesLTPro-Bold"/>
          <w:b/>
          <w:i w:val="0"/>
          <w:color w:val="000000"/>
          <w:sz w:val="24"/>
        </w:rPr>
        <w:t>Education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330" w:lineRule="exact" w:before="240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15. Integrate graduate classes and invited lectures with topics that focus on historically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marginalized communities. </w:t>
      </w:r>
    </w:p>
    <w:p>
      <w:pPr>
        <w:autoSpaceDN w:val="0"/>
        <w:tabs>
          <w:tab w:pos="2880" w:val="left"/>
        </w:tabs>
        <w:autoSpaceDE w:val="0"/>
        <w:widowControl/>
        <w:spacing w:line="330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Include at least one seminar per year that directly focuses on topics from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historically marginalized communities. </w:t>
      </w:r>
    </w:p>
    <w:p>
      <w:pPr>
        <w:autoSpaceDN w:val="0"/>
        <w:tabs>
          <w:tab w:pos="2880" w:val="left"/>
        </w:tabs>
        <w:autoSpaceDE w:val="0"/>
        <w:widowControl/>
        <w:spacing w:line="330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Invite speakers from historically marginalized backgrounds (MINIMUM one per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quarter). </w:t>
      </w:r>
    </w:p>
    <w:p>
      <w:pPr>
        <w:autoSpaceDN w:val="0"/>
        <w:autoSpaceDE w:val="0"/>
        <w:widowControl/>
        <w:spacing w:line="240" w:lineRule="exact" w:before="90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Offer at least one course that directly deals with topics from historically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c.</w:t>
      </w:r>
    </w:p>
    <w:p>
      <w:pPr>
        <w:autoSpaceDN w:val="0"/>
        <w:autoSpaceDE w:val="0"/>
        <w:widowControl/>
        <w:spacing w:line="330" w:lineRule="exact" w:before="0" w:after="0"/>
        <w:ind w:left="288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marginalized communities as they relate to AOS and integrate these topics into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the core classes that the department offers for graduate students.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96" w:lineRule="exact" w:before="34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16. Create a summer bridge program for incoming grad students </w:t>
      </w:r>
      <w:r>
        <w:br/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Provide an optional additional summer course for students to learn programming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and relevant quantitative background for the core courses. The department already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gives recommended reading to supplement, we should provide more structure to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support students filling in their background knowledge.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Allow, train, and pay postdocs or senior graduate students to teach this course to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get experience teaching at the graduate level. </w:t>
      </w:r>
    </w:p>
    <w:p>
      <w:pPr>
        <w:autoSpaceDN w:val="0"/>
        <w:tabs>
          <w:tab w:pos="2880" w:val="left"/>
        </w:tabs>
        <w:autoSpaceDE w:val="0"/>
        <w:widowControl/>
        <w:spacing w:line="284" w:lineRule="exact" w:before="2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Offer TA-ships for senior graduate students to TA the core courses and provide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resources for first year graduate students.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0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17. Create a TA-ship for graduate students who lead outreach events or participate in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programs for URM students. </w:t>
      </w:r>
    </w:p>
    <w:p>
      <w:pPr>
        <w:autoSpaceDN w:val="0"/>
        <w:tabs>
          <w:tab w:pos="2880" w:val="left"/>
        </w:tabs>
        <w:autoSpaceDE w:val="0"/>
        <w:widowControl/>
        <w:spacing w:line="240" w:lineRule="exact" w:before="90" w:after="0"/>
        <w:ind w:left="2520" w:right="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Allow this TA-ship to fulfill one quarter of the TA requirement. </w:t>
      </w:r>
    </w:p>
    <w:p>
      <w:pPr>
        <w:autoSpaceDN w:val="0"/>
        <w:autoSpaceDE w:val="0"/>
        <w:widowControl/>
        <w:spacing w:line="330" w:lineRule="exact" w:before="0" w:after="0"/>
        <w:ind w:left="2880" w:right="1442" w:hanging="360"/>
        <w:jc w:val="both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b. Offer this TA-ship to graduate students who mentor URM students in summer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programs like the McNair, Santa Monica College-UCLA Summer Research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Scholars, HBCU pathways, and similar programs. </w:t>
      </w:r>
    </w:p>
    <w:p>
      <w:pPr>
        <w:autoSpaceDN w:val="0"/>
        <w:tabs>
          <w:tab w:pos="2880" w:val="left"/>
        </w:tabs>
        <w:autoSpaceDE w:val="0"/>
        <w:widowControl/>
        <w:spacing w:line="330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Work with and financially support already established groups like the K-12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Outreach Group, Environmental Justice Working Group, and CDLS. </w:t>
      </w:r>
    </w:p>
    <w:p>
      <w:pPr>
        <w:autoSpaceDN w:val="0"/>
        <w:tabs>
          <w:tab w:pos="2160" w:val="left"/>
        </w:tabs>
        <w:autoSpaceDE w:val="0"/>
        <w:widowControl/>
        <w:spacing w:line="330" w:lineRule="exact" w:before="0" w:after="0"/>
        <w:ind w:left="180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18. Create partial TA-ships for students who participate on the diversity committee to focus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on increasing diversity within the department. </w:t>
      </w:r>
    </w:p>
    <w:p>
      <w:pPr>
        <w:autoSpaceDN w:val="0"/>
        <w:tabs>
          <w:tab w:pos="2880" w:val="left"/>
        </w:tabs>
        <w:autoSpaceDE w:val="0"/>
        <w:widowControl/>
        <w:spacing w:line="330" w:lineRule="exact" w:before="0" w:after="0"/>
        <w:ind w:left="252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Many times students from marginalized backgrounds are required or are asked to </w:t>
      </w:r>
      <w:r>
        <w:tab/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do more work than their privileged peers. </w:t>
      </w:r>
    </w:p>
    <w:p>
      <w:pPr>
        <w:autoSpaceDN w:val="0"/>
        <w:autoSpaceDE w:val="0"/>
        <w:widowControl/>
        <w:spacing w:line="284" w:lineRule="exact" w:before="616" w:after="0"/>
        <w:ind w:left="1440" w:right="1440" w:firstLine="0"/>
        <w:jc w:val="center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We see and recognize the issues within our department and we are actively invested in making a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change and working with faculty and undergraduate students. We respectfully request that the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80894" w:after="0"/>
        <w:ind w:left="1440" w:right="1440" w:firstLine="0"/>
        <w:jc w:val="left"/>
      </w:pP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>department respond within the next</w:t>
      </w:r>
      <w:r>
        <w:rPr>
          <w:rFonts w:ascii="Gautami" w:hAnsi="Gautami" w:eastAsia="Gautami"/>
          <w:b w:val="0"/>
          <w:i w:val="0"/>
          <w:color w:val="000000"/>
          <w:sz w:val="24"/>
        </w:rPr>
        <w:t xml:space="preserve"> ​</w:t>
      </w:r>
      <w:r>
        <w:rPr>
          <w:rFonts w:ascii="TimesLTPro-Bold" w:hAnsi="TimesLTPro-Bold" w:eastAsia="TimesLTPro-Bold"/>
          <w:b/>
          <w:i w:val="0"/>
          <w:color w:val="000000"/>
          <w:sz w:val="24"/>
        </w:rPr>
        <w:t>two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 weeks to address the issues of communication, </w:t>
      </w:r>
      <w:r>
        <w:rPr>
          <w:rFonts w:ascii="TimesLTPro-Roman" w:hAnsi="TimesLTPro-Roman" w:eastAsia="TimesLTPro-Roman"/>
          <w:b w:val="0"/>
          <w:i w:val="0"/>
          <w:color w:val="000000"/>
          <w:sz w:val="24"/>
        </w:rPr>
        <w:t xml:space="preserve">transparency, action, accountability, and commitment outlined in this letter. </w:t>
      </w:r>
    </w:p>
    <w:p>
      <w:pPr>
        <w:autoSpaceDN w:val="0"/>
        <w:autoSpaceDE w:val="0"/>
        <w:widowControl/>
        <w:spacing w:line="230" w:lineRule="auto" w:before="850" w:after="53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Signed,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10594"/>
        </w:trPr>
        <w:tc>
          <w:tcPr>
            <w:tcW w:type="dxa" w:w="4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20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Blanca Alvarez Caraveo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Jordyn Moscoso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Paige Hoel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Zoe Pierrat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Daniel Clements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3rd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Nathaniel Brockway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Matthew McKinney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Katie Tuite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Sarah Johnson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De’Marcus Robinson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Marco Sandoval Belmar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</w:tc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320" w:right="187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David H Gonzalez, PhD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Alumnus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Donglai Ma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Danny Min Leung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Jiaqi Shen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Rodrigo Branco Rodakoviski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Sarah Worden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01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Ken Zhao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187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Jiawen Li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Master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Todd Emmenegger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216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Daniel McCoy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3rd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20" w:right="187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Mingxin Qu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Master student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967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4674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2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Calvin Howes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Clara Yidongfang Si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Yue Huang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Laura Thapa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720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Xiuyuan Ding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Master student 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36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Santiago Giraldo Cardenas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6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Victor Pinto Abarzua, PhD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Alumnus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60" w:right="201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Aviv Solodoch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6th year PhD student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60" w:right="201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Kathleen Schiro, PhD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Alumnus </w:t>
            </w:r>
          </w:p>
          <w:p>
            <w:pPr>
              <w:autoSpaceDN w:val="0"/>
              <w:autoSpaceDE w:val="0"/>
              <w:widowControl/>
              <w:spacing w:line="259" w:lineRule="auto" w:before="396" w:after="0"/>
              <w:ind w:left="136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Bea Gallardo-Lacourt, PhD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Alumnus </w:t>
            </w:r>
          </w:p>
        </w:tc>
      </w:tr>
    </w:tbl>
    <w:p>
      <w:pPr>
        <w:autoSpaceDN w:val="0"/>
        <w:autoSpaceDE w:val="0"/>
        <w:widowControl/>
        <w:spacing w:line="259" w:lineRule="auto" w:before="336" w:after="0"/>
        <w:ind w:left="1440" w:right="86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Alexandrea Arnold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3rd year PhD student </w:t>
      </w:r>
    </w:p>
    <w:p>
      <w:pPr>
        <w:autoSpaceDN w:val="0"/>
        <w:autoSpaceDE w:val="0"/>
        <w:widowControl/>
        <w:spacing w:line="324" w:lineRule="auto" w:before="92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additional signatures: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 xml:space="preserve">https://docs.google.com/document/d/1VNw9meI_2W_P1Xeb1yA8RLzaq5mibQQUmI2Vxmybn 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Oc/edit?usp=sharing</w:t>
          </w:r>
        </w:hyperlink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otimeforsilence.org/" TargetMode="External"/><Relationship Id="rId10" Type="http://schemas.openxmlformats.org/officeDocument/2006/relationships/hyperlink" Target="https://ceils.ucla.edu/wp-content/uploads/sites/2/2016/11/Enhancing-Student-Success-Building-Inclusive-Classrooms-at-UCLA-Report_December-2015-Hurdado-Sork-Report.pdf" TargetMode="External"/><Relationship Id="rId11" Type="http://schemas.openxmlformats.org/officeDocument/2006/relationships/hyperlink" Target="https://www.theatlantic.com/education/archive/2016/03/the-problem-with-the-gre/471633/" TargetMode="External"/><Relationship Id="rId12" Type="http://schemas.openxmlformats.org/officeDocument/2006/relationships/hyperlink" Target="https://www.equip.ninja/" TargetMode="External"/><Relationship Id="rId13" Type="http://schemas.openxmlformats.org/officeDocument/2006/relationships/hyperlink" Target="https://equity.ucla.edu/programs-resources/faculty-search-process/faculty-search-committee-resources/" TargetMode="External"/><Relationship Id="rId14" Type="http://schemas.openxmlformats.org/officeDocument/2006/relationships/hyperlink" Target="https://www.sciencemag.org/careers/2019/08/nsf-graduate-fellowships-disproportionately-go-students-few-top-schools" TargetMode="External"/><Relationship Id="rId15" Type="http://schemas.openxmlformats.org/officeDocument/2006/relationships/hyperlink" Target="https://docs.google.com/document/d/1VNw9meI_2W_P1Xeb1yA8RLzaq5mibQQUmI2VxmybnO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