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90"/>
        </w:trPr>
        <w:tc>
          <w:tcPr>
            <w:tcW w:type="dxa" w:w="23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23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</w:t>
            </w:r>
          </w:p>
        </w:tc>
        <w:tc>
          <w:tcPr>
            <w:tcW w:type="dxa" w:w="4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59" w:lineRule="auto" w:before="316" w:after="50"/>
        <w:ind w:left="1440" w:right="1440" w:firstLine="0"/>
        <w:jc w:val="center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 ���� ��� ���� � ��� ����� ����� ������ ���������� �������������� ��� ���� �� ���� ���������� �� 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������������� �� ��� ������������ ��������� �� ����������� �� ������ ��� 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90"/>
        </w:trPr>
        <w:tc>
          <w:tcPr>
            <w:tcW w:type="dxa" w:w="5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����������� � �� ��� ���� ����� ����� �� ���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����� �������� ��� � �� ��� ��� ���� ����� �� ��</w:t>
            </w:r>
          </w:p>
        </w:tc>
      </w:tr>
    </w:tbl>
    <w:p>
      <w:pPr>
        <w:autoSpaceDN w:val="0"/>
        <w:autoSpaceDE w:val="0"/>
        <w:widowControl/>
        <w:spacing w:line="230" w:lineRule="auto" w:before="1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</w:t>
      </w:r>
    </w:p>
    <w:p>
      <w:pPr>
        <w:autoSpaceDN w:val="0"/>
        <w:autoSpaceDE w:val="0"/>
        <w:widowControl/>
        <w:spacing w:line="276" w:lineRule="auto" w:before="356" w:after="50"/>
        <w:ind w:left="1440" w:right="1442" w:firstLine="158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 ��� ���������� �� � ������ �� ��� ������������ �������� �� ���� �������� 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���������� �� ��� ����������� ���� �������� �� ��� ���� ���� ����� ��� ������� �� ��� ���������� ���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����������� � ���� ���������� ��������� ����������� ���������� �� ���� �� ����� �� ��� ���� 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 �� �������� ����� �� ������ ��������������� �������� ��� ����� ���� � �������� ���� ��� ������ �� 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 ���� ������������ ������� ������� ���� � ���� �� ����� ���� ������� ������� ��� ����� 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 ������ �� ���������� �� ��� ����������� ���� ���� ���������� ��� ����� �� ����� �� ������� 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���������� ���������� �� ���� �� ����� ������������� ���� �� ���� �� ���� �������������� �� ���� ���� �� 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90"/>
        </w:trPr>
        <w:tc>
          <w:tcPr>
            <w:tcW w:type="dxa" w:w="2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4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�������� ��</w:t>
            </w:r>
          </w:p>
        </w:tc>
        <w:tc>
          <w:tcPr>
            <w:tcW w:type="dxa" w:w="4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71" w:lineRule="auto" w:before="316" w:after="0"/>
        <w:ind w:left="1440" w:right="1442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 ��� ���� � ������ �� ���������� ���� ��� �� ���� ������ ��� �������� �� ������� ���� ����������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������ �� ������������ �� ��� ��� ���� ��� ��� ������� ��� ��������� ��� �� ������������� ��� 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����� ���� ������ �� ��� ���� �������� ��� ������ ����� �������� ������ ���������� �� �����������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������ �������� ������ ���</w:t>
      </w:r>
    </w:p>
    <w:p>
      <w:pPr>
        <w:autoSpaceDN w:val="0"/>
        <w:autoSpaceDE w:val="0"/>
        <w:widowControl/>
        <w:spacing w:line="276" w:lineRule="auto" w:before="356" w:after="0"/>
        <w:ind w:left="1440" w:right="1444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 ���� �������� ������� ���� �������� �������� ��� ����� ������ �������� ���� ���� ��� 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 ���� ������� ����� � ���� �� ��� �� ������� �� �������� �� ���������� �� ��� ����������� 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������������� � ��� ���� ������� �������� �� �� ������ �� � ���� ��� ���������� ��� ������ ���� 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 ����� ������� �� ���� ���������� �� ��� ��������� ���� �� ����� ������ � ��� ������� ���� ���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�������� �� ����� ��� ������������ �� �� ����� �� ���� ������ ���� ���������� ��� ����� �������������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 � ��������� ��� ��������</w:t>
      </w:r>
    </w:p>
    <w:p>
      <w:pPr>
        <w:autoSpaceDN w:val="0"/>
        <w:autoSpaceDE w:val="0"/>
        <w:widowControl/>
        <w:spacing w:line="266" w:lineRule="auto" w:before="356" w:after="50"/>
        <w:ind w:left="1440" w:right="1446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������� ��� ������ ��������� ������� ���� ����� ��������� �� �������� ���������� ����� 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 ����� ������� �� ��� �������� ������� ���� �� ���������� � ������ ���� ������� ������ 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��������� ��� ���������� ������ ��� ���� ������ ������� �� ����������� ���� ���� ������� �� ��� 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080"/>
        <w:gridCol w:w="4080"/>
        <w:gridCol w:w="4080"/>
      </w:tblGrid>
      <w:tr>
        <w:trPr>
          <w:trHeight w:hRule="exact" w:val="290"/>
        </w:trPr>
        <w:tc>
          <w:tcPr>
            <w:tcW w:type="dxa" w:w="4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 ����� ��� �� ���</w:t>
            </w:r>
          </w:p>
        </w:tc>
        <w:tc>
          <w:tcPr>
            <w:tcW w:type="dxa" w:w="17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������� ��</w:t>
            </w:r>
          </w:p>
        </w:tc>
        <w:tc>
          <w:tcPr>
            <w:tcW w:type="dxa" w:w="49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 �� ��������� ���������� ��������� �� �������</w:t>
            </w:r>
          </w:p>
        </w:tc>
      </w:tr>
    </w:tbl>
    <w:p>
      <w:pPr>
        <w:autoSpaceDN w:val="0"/>
        <w:autoSpaceDE w:val="0"/>
        <w:widowControl/>
        <w:spacing w:line="271" w:lineRule="auto" w:before="16" w:after="0"/>
        <w:ind w:left="1440" w:right="1444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 �������� �� ��� ������� ����� ���� ���� �� ������ ���� ������� ���� ���� ��� ������ �� 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��������� �� ���� �� ���� ���������� ������ ���� ��������� ������� �� ������� ������� ���� ���� 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 ��������� �� �������� ���� ��� ������� ���� ��������� ��� ������� �������� ��� ����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 ��� ������� �� ���������</w:t>
      </w:r>
    </w:p>
    <w:p>
      <w:pPr>
        <w:autoSpaceDN w:val="0"/>
        <w:autoSpaceDE w:val="0"/>
        <w:widowControl/>
        <w:spacing w:line="259" w:lineRule="auto" w:before="35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 � �������� �� ���� ������� ����� ����� �� ��� ���� ��� ���� ���� �� ��� ��������� �������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���������� ��� ��� ���� �� ���� �����</w:t>
      </w:r>
    </w:p>
    <w:p>
      <w:pPr>
        <w:autoSpaceDN w:val="0"/>
        <w:autoSpaceDE w:val="0"/>
        <w:widowControl/>
        <w:spacing w:line="266" w:lineRule="auto" w:before="35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 ������� ����� ���� ������� ����� ������ ��� ������� ����� ������� ����� ��������� ������ 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������� �� ���� ��������� �� � ������ ������� ������� ������� ���� ��� ��������� �� ���� 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 ���� ��� ����� ����� � ������ �������� ���� ����� ���� ������ �� � ����� �������� �� �������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17294" w:after="35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 ��� ���� ���� ������� ���� ������ ������ �� �� ��������� �� ��� ������� �� �� ������� 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����� ����� �� ������ 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6120"/>
        <w:gridCol w:w="6120"/>
      </w:tblGrid>
      <w:tr>
        <w:trPr>
          <w:trHeight w:hRule="exact" w:val="290"/>
        </w:trPr>
        <w:tc>
          <w:tcPr>
            <w:tcW w:type="dxa" w:w="4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7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 ���� ��������� �� ���</w:t>
            </w:r>
          </w:p>
        </w:tc>
        <w:tc>
          <w:tcPr>
            <w:tcW w:type="dxa" w:w="67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E101A"/>
                <w:sz w:val="22"/>
              </w:rPr>
              <w:t>���������� ��� � ����� ����� ������ ���� �������� ���������� �����</w:t>
            </w:r>
          </w:p>
        </w:tc>
      </w:tr>
    </w:tbl>
    <w:p>
      <w:pPr>
        <w:autoSpaceDN w:val="0"/>
        <w:autoSpaceDE w:val="0"/>
        <w:widowControl/>
        <w:spacing w:line="271" w:lineRule="auto" w:before="16" w:after="0"/>
        <w:ind w:left="1440" w:right="1442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 �������� ��� ������� ���� ��� ��� ������ ��� ������� ����� �� ���� ������� ��� ������ ���� 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 ��� � ���� ������� �� ��� ����������� ��� ������� ��� �������� � ����� ��� ������ ������� 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���������� ���� ���� �� ���� ������� �������� � ������ ���� ��� �������� ����� ���� ����� 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 ��� ��� ��� ���� ������ �� ���� �� �������������� �� �� ��������� ���� � ������ ������</w:t>
      </w:r>
    </w:p>
    <w:p>
      <w:pPr>
        <w:autoSpaceDN w:val="0"/>
        <w:autoSpaceDE w:val="0"/>
        <w:widowControl/>
        <w:spacing w:line="259" w:lineRule="auto" w:before="35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 ���� �������� ���� ������� �� �� ����������� ���� ��� ��� ����� ���� � ��� ��������� ��� ��� ��� ��� 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��� �������� ���</w:t>
      </w:r>
    </w:p>
    <w:p>
      <w:pPr>
        <w:autoSpaceDN w:val="0"/>
        <w:autoSpaceDE w:val="0"/>
        <w:widowControl/>
        <w:spacing w:line="274" w:lineRule="auto" w:before="356" w:after="0"/>
        <w:ind w:left="1440" w:right="1442" w:firstLine="0"/>
        <w:jc w:val="both"/>
      </w:pP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 ���� �� ��������� ���� ��� ���� �������� �������� ������������� �� ���� �� ������������� ������������ 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 ���� ����� ������� �� ���� ����� �������� ��� ������� �� �� �� �� ������� ���� ������ � �� ���������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 �� ����������� �� ���������� ����� ��� ������� ��� ���� ��� ������ ����� ���������� ��� ������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 ���������� �� ��� ����������� ������� �� ���������� �� �� � ���� �� ���� �������� ��� ���� ���� ��</w:t>
      </w:r>
      <w:r>
        <w:rPr>
          <w:rFonts w:ascii="Times New Roman" w:hAnsi="Times New Roman" w:eastAsia="Times New Roman"/>
          <w:b w:val="0"/>
          <w:i w:val="0"/>
          <w:color w:val="0E101A"/>
          <w:sz w:val="22"/>
        </w:rPr>
        <w:t>��������� ��������� ��� �� �� �� ���������� �� �� ������� ������� �� ���� ������������ ���� �����������</w:t>
      </w:r>
    </w:p>
    <w:p>
      <w:pPr>
        <w:autoSpaceDN w:val="0"/>
        <w:autoSpaceDE w:val="0"/>
        <w:widowControl/>
        <w:spacing w:line="230" w:lineRule="auto" w:before="356" w:after="296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E101A"/>
          <w:sz w:val="22"/>
        </w:rPr>
        <w:t>� �� ��� ���� �� ����� �������� � ���� ��� 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080"/>
        <w:gridCol w:w="4080"/>
        <w:gridCol w:w="4080"/>
      </w:tblGrid>
      <w:tr>
        <w:trPr>
          <w:trHeight w:hRule="exact" w:val="3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96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E101A"/>
                <w:sz w:val="22"/>
              </w:rPr>
              <w:t>��</w:t>
            </w:r>
          </w:p>
        </w:tc>
        <w:tc>
          <w:tcPr>
            <w:tcW w:type="dxa" w:w="9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E101A"/>
                <w:sz w:val="22"/>
              </w:rPr>
              <w:t>������� ��� ��������� ��������������� �� ��� �������� ������� ����� ��������� ���������</w:t>
            </w:r>
          </w:p>
        </w:tc>
      </w:tr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1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E101A"/>
                <w:sz w:val="22"/>
              </w:rPr>
              <w:t>��� ������ �� �������� �� ����� ��� ��� �������� ��� ���� ������� ��</w:t>
            </w:r>
          </w:p>
        </w:tc>
        <w:tc>
          <w:tcPr>
            <w:tcW w:type="dxa" w:w="2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E101A"/>
                <w:sz w:val="22"/>
              </w:rPr>
              <w:t>���� �������</w:t>
            </w:r>
          </w:p>
        </w:tc>
      </w:tr>
    </w:tbl>
    <w:p>
      <w:pPr>
        <w:autoSpaceDN w:val="0"/>
        <w:tabs>
          <w:tab w:pos="2160" w:val="left"/>
        </w:tabs>
        <w:autoSpaceDE w:val="0"/>
        <w:widowControl/>
        <w:spacing w:line="276" w:lineRule="auto" w:before="16" w:after="0"/>
        <w:ind w:left="1800" w:right="1728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 ��������� ����� ��� ��� ����������� �������� ���� ��������</w:t>
      </w:r>
      <w:r>
        <w:br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</w:t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 ������� ����� ��� �������� ���� � ��������� �� �������� ��� ������� ����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����������������� ������ ������ ������� ��������� ����������� �� ����������� �� ������</w:t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������� ������ �� ������ �� ��� ����������</w:t>
      </w:r>
      <w:r>
        <w:br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</w:t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���� �������� ��� ��� ������������ �� ���� ��� ������������ �������������� ��� �����</w:t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2"/>
        </w:rPr>
        <w:t>��������������</w:t>
      </w:r>
    </w:p>
    <w:p>
      <w:pPr>
        <w:autoSpaceDN w:val="0"/>
        <w:autoSpaceDE w:val="0"/>
        <w:widowControl/>
        <w:spacing w:line="230" w:lineRule="auto" w:before="656" w:after="626"/>
        <w:ind w:left="19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E101A"/>
          <w:sz w:val="22"/>
        </w:rPr>
        <w:t>� ���� ��� ��� ����� �� 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6120"/>
        <w:gridCol w:w="6120"/>
      </w:tblGrid>
      <w:tr>
        <w:trPr>
          <w:trHeight w:hRule="exact" w:val="299"/>
        </w:trPr>
        <w:tc>
          <w:tcPr>
            <w:tcW w:type="dxa" w:w="52"/>
            <w:tcBorders>
              <w:start w:sz="24.0" w:val="single" w:color="#FF0000"/>
              <w:end w:sz="24.0" w:val="single" w:color="#FF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24.0" w:val="single" w:color="#FF0000"/>
              <w:bottom w:sz="24.0" w:val="single" w:color="#FF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5"/>
        </w:trPr>
        <w:tc>
          <w:tcPr>
            <w:tcW w:type="dxa" w:w="992"/>
            <w:gridSpan w:val="2"/>
            <w:tcBorders>
              <w:start w:sz="24.0" w:val="single" w:color="#FF0000"/>
              <w:top w:sz="24.0" w:val="single" w:color="#FF0000"/>
              <w:end w:sz="24.0" w:val="single" w:color="#FF0000"/>
              <w:bottom w:sz="24.0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����������</w:t>
            </w:r>
          </w:p>
        </w:tc>
      </w:tr>
      <w:tr>
        <w:trPr>
          <w:trHeight w:hRule="exact" w:val="300"/>
        </w:trPr>
        <w:tc>
          <w:tcPr>
            <w:tcW w:type="dxa" w:w="992"/>
            <w:gridSpan w:val="2"/>
            <w:tcBorders>
              <w:start w:sz="22.399999999999977" w:val="single" w:color="#000000"/>
              <w:top w:sz="24.0" w:val="single" w:color="#FF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22"/>
        </w:trPr>
        <w:tc>
          <w:tcPr>
            <w:tcW w:type="dxa" w:w="21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Dear </w:t>
            </w:r>
          </w:p>
        </w:tc>
        <w:tc>
          <w:tcPr>
            <w:tcW w:type="dxa" w:w="6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of the Institute of the Environment and Sustainability, </w:t>
            </w:r>
          </w:p>
        </w:tc>
      </w:tr>
    </w:tbl>
    <w:p>
      <w:pPr>
        <w:autoSpaceDN w:val="0"/>
        <w:autoSpaceDE w:val="0"/>
        <w:widowControl/>
        <w:spacing w:line="269" w:lineRule="auto" w:before="328" w:after="0"/>
        <w:ind w:left="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upset, enraged, and exhausted from all that we’ve seen in the past two weeks. Black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at UCLA are experiencing the collective trauma of the inequalities of COVID,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economic crash, and the state of police brutality– some of these students are under your purview.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murders of George Floyd, Breonna Taylor, Ahmaud Arbery, Tony McDade and so many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hand of police brutality are inexcusable.  These murders represent the centuries of racism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colonialism that perpetuate violence and stark inequities in our society. </w:t>
      </w:r>
    </w:p>
    <w:p>
      <w:pPr>
        <w:autoSpaceDN w:val="0"/>
        <w:autoSpaceDE w:val="0"/>
        <w:widowControl/>
        <w:spacing w:line="271" w:lineRule="auto" w:before="368" w:after="0"/>
        <w:ind w:left="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mission statement of the Institute of the Environment and Sustainability is to “move science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action on the front lines of environmental progress.” Yet any attempt at environmental progress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without first addressing the systemic oppression and inequities that are so deeply rooted in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society will not bring about long-lasting change. Academia has a responsibility to address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issues. The Institute prides itself in extending our research to benefit communities outside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ivory tower -- an endeavor that cannot be fulfilled until we strive fully to understand and address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issues that the communities we work with face. However, if we do not fully understand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the issues the communities we work with face, we are doing them an extreme disservice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actively contributing to their oppression. We are past the point of hoping for and talking about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change; we must take action now. </w:t>
      </w:r>
    </w:p>
    <w:p>
      <w:pPr>
        <w:autoSpaceDN w:val="0"/>
        <w:autoSpaceDE w:val="0"/>
        <w:widowControl/>
        <w:spacing w:line="269" w:lineRule="auto" w:before="368" w:after="36"/>
        <w:ind w:left="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strong in our conviction that Black Lives Matter. We received the IoES’s statement on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above. We, too, offer our solidarity in the current movement and denounce racism in any form,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but words are simply not enough. We are frustrated that it took many days and a student email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before the IoES addressed the trauma that has been produced during the past two weeks. The lack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accountability and reliable leadership from the Institute as a whole is not something new.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have expressed the Institute’s lack of reliability in research and class settings,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22"/>
        </w:trPr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demonstrating that this is not an isolated instance but a part of a pattern.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letter, </w:t>
            </w:r>
          </w:p>
        </w:tc>
      </w:tr>
    </w:tbl>
    <w:p>
      <w:pPr>
        <w:autoSpaceDN w:val="0"/>
        <w:autoSpaceDE w:val="0"/>
        <w:widowControl/>
        <w:spacing w:line="266" w:lineRule="auto" w:before="10" w:after="0"/>
        <w:ind w:left="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which was sent June 8th,  demonstrates how harmful this lack of accountability and reliability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truly be, and we stress our support for her powerful letter. These actions, or rather lack thereof,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have been attributed to being busy and having too many things on your plate. This is a poor excuse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any setting, especially pertaining to the safety and active violence against students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Institute. </w:t>
      </w:r>
    </w:p>
    <w:p>
      <w:pPr>
        <w:autoSpaceDN w:val="0"/>
        <w:autoSpaceDE w:val="0"/>
        <w:widowControl/>
        <w:spacing w:line="269" w:lineRule="auto" w:before="368" w:after="0"/>
        <w:ind w:left="1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angry and frustrated by the lack of diversity and racial climate of IoES. We are concerned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about the low morale, the program losing a fellow graduate student, the potential loss of more,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repeated rejection of highly qualified Black and underrepresented minority prospective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from our program. Among the sea of solidarity messaging published in recent days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been numerous statements from various members of the UCLA leadership. This talk may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good intent, but words are not actions. We believe that the IoES can and must do better. </w:t>
      </w:r>
    </w:p>
    <w:p>
      <w:pPr>
        <w:sectPr>
          <w:pgSz w:w="12240" w:h="15840"/>
          <w:pgMar w:top="724" w:right="1346" w:bottom="1024" w:left="1440" w:header="720" w:footer="720" w:gutter="0"/>
          <w:cols w:space="720" w:num="1" w:equalWidth="0"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ask that you immediately address the following points in order for IoES to be a department we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want to remain a part of: </w:t>
      </w:r>
    </w:p>
    <w:p>
      <w:pPr>
        <w:autoSpaceDN w:val="0"/>
        <w:autoSpaceDE w:val="0"/>
        <w:widowControl/>
        <w:spacing w:line="318" w:lineRule="exact" w:before="316" w:after="0"/>
        <w:ind w:left="1452" w:right="20" w:hanging="360"/>
        <w:jc w:val="both"/>
      </w:pPr>
      <w:r>
        <w:rPr>
          <w:rFonts w:ascii="" w:hAnsi="" w:eastAsia=""/>
          <w:b/>
          <w:i w:val="0"/>
          <w:color w:val="0E101A"/>
          <w:sz w:val="22"/>
        </w:rPr>
        <w:t xml:space="preserve">1.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Support the immediate diversification of the graduate student body. Including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providing the option to transfer in Black and URM students who have applied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to IoES with funding and admitting Black and URM prospective students with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>funding.</w:t>
      </w:r>
    </w:p>
    <w:p>
      <w:pPr>
        <w:autoSpaceDN w:val="0"/>
        <w:autoSpaceDE w:val="0"/>
        <w:widowControl/>
        <w:spacing w:line="318" w:lineRule="exact" w:before="0" w:after="0"/>
        <w:ind w:left="1452" w:right="20" w:hanging="360"/>
        <w:jc w:val="both"/>
      </w:pPr>
      <w:r>
        <w:rPr>
          <w:rFonts w:ascii="" w:hAnsi="" w:eastAsia=""/>
          <w:b/>
          <w:i w:val="0"/>
          <w:color w:val="0E101A"/>
          <w:sz w:val="22"/>
        </w:rPr>
        <w:t xml:space="preserve">2.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Get written input and approval from a committee of students and faculty from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under-represented groups before sending messages, organizing, or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fundraising on racial justice issues on behalf of the Institute. </w:t>
      </w:r>
    </w:p>
    <w:p>
      <w:pPr>
        <w:autoSpaceDN w:val="0"/>
        <w:tabs>
          <w:tab w:pos="1452" w:val="left"/>
        </w:tabs>
        <w:autoSpaceDE w:val="0"/>
        <w:widowControl/>
        <w:spacing w:line="316" w:lineRule="exact" w:before="0" w:after="0"/>
        <w:ind w:left="1092" w:right="0" w:firstLine="0"/>
        <w:jc w:val="left"/>
      </w:pPr>
      <w:r>
        <w:rPr>
          <w:rFonts w:ascii="" w:hAnsi="" w:eastAsia=""/>
          <w:b/>
          <w:i w:val="0"/>
          <w:color w:val="0E101A"/>
          <w:sz w:val="22"/>
        </w:rPr>
        <w:t xml:space="preserve">3. </w:t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Stop tokenism and the exploitation of race for fundraising, communication, </w:t>
      </w:r>
      <w:r>
        <w:tab/>
      </w:r>
      <w:r>
        <w:rPr>
          <w:rFonts w:ascii="Times New Roman" w:hAnsi="Times New Roman" w:eastAsia="Times New Roman"/>
          <w:b/>
          <w:i w:val="0"/>
          <w:color w:val="0E101A"/>
          <w:sz w:val="24"/>
        </w:rPr>
        <w:t xml:space="preserve">and photo opportunities. </w:t>
      </w:r>
    </w:p>
    <w:p>
      <w:pPr>
        <w:autoSpaceDN w:val="0"/>
        <w:autoSpaceDE w:val="0"/>
        <w:widowControl/>
        <w:spacing w:line="262" w:lineRule="auto" w:before="52" w:after="0"/>
        <w:ind w:left="1452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Communicate solidarity and anti-racism messages first to undergraduates,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students, staff, faculty, and alumni prior to sharing messages to the public or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donors. </w:t>
      </w:r>
    </w:p>
    <w:p>
      <w:pPr>
        <w:autoSpaceDN w:val="0"/>
        <w:autoSpaceDE w:val="0"/>
        <w:widowControl/>
        <w:spacing w:line="230" w:lineRule="auto" w:before="52" w:after="0"/>
        <w:ind w:left="10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 Black and Native members to the IoES advisory board. </w:t>
      </w:r>
    </w:p>
    <w:p>
      <w:pPr>
        <w:autoSpaceDN w:val="0"/>
        <w:tabs>
          <w:tab w:pos="1452" w:val="left"/>
        </w:tabs>
        <w:autoSpaceDE w:val="0"/>
        <w:widowControl/>
        <w:spacing w:line="269" w:lineRule="auto" w:before="52" w:after="0"/>
        <w:ind w:left="10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a statement demanding that UCLA divest from the UC Police Department,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in practice and with regards to funding, have leadership of IoES join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newly-formed UCLA police divestment task force, and create an explicit IoES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safety and accountability policy that does not involve the UCP in any capacity.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anti-racism and environmental justice texts and discussions as a required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component of the undergraduate and graduate course curriculum (for example,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Issues and Methods). </w:t>
      </w:r>
    </w:p>
    <w:p>
      <w:pPr>
        <w:autoSpaceDN w:val="0"/>
        <w:autoSpaceDE w:val="0"/>
        <w:widowControl/>
        <w:spacing w:line="262" w:lineRule="auto" w:before="50" w:after="0"/>
        <w:ind w:left="1452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public departmental ties with all outside organizations, all sources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amounts of funding received by the Institute, and partner and donor commitments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equity, inclusion and diversity, for transparency. </w:t>
      </w:r>
    </w:p>
    <w:p>
      <w:pPr>
        <w:autoSpaceDN w:val="0"/>
        <w:autoSpaceDE w:val="0"/>
        <w:widowControl/>
        <w:spacing w:line="264" w:lineRule="auto" w:before="50" w:after="0"/>
        <w:ind w:left="1452" w:right="20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Mandate that faculty and staff and students participate in workshops that focus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Equity, Inclusion and Diversity and anti-racism minimally once a  year, with those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leadership roles participating in additional training commensurate with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degree of responsibility. </w:t>
      </w:r>
    </w:p>
    <w:p>
      <w:pPr>
        <w:autoSpaceDN w:val="0"/>
        <w:tabs>
          <w:tab w:pos="1452" w:val="left"/>
        </w:tabs>
        <w:autoSpaceDE w:val="0"/>
        <w:widowControl/>
        <w:spacing w:line="254" w:lineRule="auto" w:before="56" w:after="0"/>
        <w:ind w:left="10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Improve racial diversity at all levels without alienating Black and Brown students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they are admitted to IoES. </w:t>
      </w:r>
    </w:p>
    <w:p>
      <w:pPr>
        <w:autoSpaceDN w:val="0"/>
        <w:autoSpaceDE w:val="0"/>
        <w:widowControl/>
        <w:spacing w:line="230" w:lineRule="auto" w:before="684" w:after="0"/>
        <w:ind w:left="1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also ask for specific commitments to: </w:t>
      </w:r>
    </w:p>
    <w:p>
      <w:pPr>
        <w:autoSpaceDN w:val="0"/>
        <w:tabs>
          <w:tab w:pos="1452" w:val="left"/>
        </w:tabs>
        <w:autoSpaceDE w:val="0"/>
        <w:widowControl/>
        <w:spacing w:line="252" w:lineRule="auto" w:before="368" w:after="0"/>
        <w:ind w:left="10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 an external review of the racial climate in IoES this summer,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actionable findings. </w:t>
      </w:r>
    </w:p>
    <w:p>
      <w:pPr>
        <w:autoSpaceDN w:val="0"/>
        <w:tabs>
          <w:tab w:pos="1452" w:val="left"/>
        </w:tabs>
        <w:autoSpaceDE w:val="0"/>
        <w:widowControl/>
        <w:spacing w:line="252" w:lineRule="auto" w:before="56" w:after="0"/>
        <w:ind w:left="109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of our social media presence, alumni network, and email listservs to amplify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Black voices that highlight and address inequities. </w:t>
      </w:r>
    </w:p>
    <w:p>
      <w:pPr>
        <w:sectPr>
          <w:pgSz w:w="12240" w:h="15840"/>
          <w:pgMar w:top="732" w:right="1348" w:bottom="866" w:left="1440" w:header="720" w:footer="720" w:gutter="0"/>
          <w:cols w:space="720" w:num="1" w:equalWidth="0"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tabs>
          <w:tab w:pos="1460" w:val="left"/>
        </w:tabs>
        <w:autoSpaceDE w:val="0"/>
        <w:widowControl/>
        <w:spacing w:line="252" w:lineRule="auto" w:before="0" w:after="0"/>
        <w:ind w:left="1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Prioritize the use of Institute, university, board, and donor funding and resources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diversify IoES leadership by hiring Black faculty. </w:t>
      </w:r>
    </w:p>
    <w:p>
      <w:pPr>
        <w:autoSpaceDN w:val="0"/>
        <w:tabs>
          <w:tab w:pos="1460" w:val="left"/>
        </w:tabs>
        <w:autoSpaceDE w:val="0"/>
        <w:widowControl/>
        <w:spacing w:line="252" w:lineRule="auto" w:before="52" w:after="0"/>
        <w:ind w:left="1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Raise funds for fellowships specifically designated for Black students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postdoctoral researchers. </w:t>
      </w:r>
    </w:p>
    <w:p>
      <w:pPr>
        <w:autoSpaceDN w:val="0"/>
        <w:autoSpaceDE w:val="0"/>
        <w:widowControl/>
        <w:spacing w:line="262" w:lineRule="auto" w:before="50" w:after="0"/>
        <w:ind w:left="1460" w:right="22" w:hanging="36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and encourage equity, inclusion and diversity-focused research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activities, including through the Environmental Justice Working Group and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Center for Diverse Leadership in Science. </w:t>
      </w:r>
    </w:p>
    <w:p>
      <w:pPr>
        <w:autoSpaceDN w:val="0"/>
        <w:tabs>
          <w:tab w:pos="1460" w:val="left"/>
        </w:tabs>
        <w:autoSpaceDE w:val="0"/>
        <w:widowControl/>
        <w:spacing w:line="264" w:lineRule="auto" w:before="52" w:after="0"/>
        <w:ind w:left="1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Create an external oversight commission to develop and adopt an Anti-Racism-In-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All-Policies approach that governs the full spectrum of investment, recruitment,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hiring, and other decisions made at the IoES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Black businesses, including using Black food vendors. </w:t>
      </w:r>
    </w:p>
    <w:p>
      <w:pPr>
        <w:autoSpaceDN w:val="0"/>
        <w:tabs>
          <w:tab w:pos="1460" w:val="left"/>
        </w:tabs>
        <w:autoSpaceDE w:val="0"/>
        <w:widowControl/>
        <w:spacing w:line="252" w:lineRule="auto" w:before="52" w:after="0"/>
        <w:ind w:left="1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public the graduation rate and time to degree for all students broken down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demographics. </w:t>
      </w:r>
    </w:p>
    <w:p>
      <w:pPr>
        <w:autoSpaceDN w:val="0"/>
        <w:autoSpaceDE w:val="0"/>
        <w:widowControl/>
        <w:spacing w:line="230" w:lineRule="auto" w:before="56" w:after="0"/>
        <w:ind w:left="11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Push for change and justice at the division and university level. </w:t>
      </w:r>
    </w:p>
    <w:p>
      <w:pPr>
        <w:autoSpaceDN w:val="0"/>
        <w:autoSpaceDE w:val="0"/>
        <w:widowControl/>
        <w:spacing w:line="269" w:lineRule="auto" w:before="368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As signatories to this letter, we acknowledge that we find ourselves in a dynamic and quickly-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changing situation. We acknowledge that we have each been impacted in different ways, and that,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even with open dialogue, we cannot each fully know another’s experience with the racial climate.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nevertheless offer this collection of thoughts, reflections, and demands as a group of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who believe that communication, transparency, action, accountability, commitment, and tenacity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 and will bring about sorely needed shifts toward justice. </w:t>
      </w:r>
    </w:p>
    <w:p>
      <w:pPr>
        <w:autoSpaceDN w:val="0"/>
        <w:autoSpaceDE w:val="0"/>
        <w:widowControl/>
        <w:spacing w:line="269" w:lineRule="auto" w:before="374" w:after="0"/>
        <w:ind w:left="2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Institute of the Environment and Sustainability serves as a model for interdisciplinary research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is an entity that is looked to by other scientific and environmental institutions. Currently 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represents a model that perpetuates racism and therefore we must make addressing inequity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priority. By doing so, we can serve as a model for others. As graduate students, we acknowledge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action is going to require a joint effort from the Director, board, faculty, staff, and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we are committed to doing our part. Now we ask that you commit to doing yours. </w:t>
      </w:r>
    </w:p>
    <w:p>
      <w:pPr>
        <w:autoSpaceDN w:val="0"/>
        <w:autoSpaceDE w:val="0"/>
        <w:widowControl/>
        <w:spacing w:line="230" w:lineRule="auto" w:before="1322" w:after="352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Signed,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31"/>
        <w:gridCol w:w="4731"/>
      </w:tblGrid>
      <w:tr>
        <w:trPr>
          <w:trHeight w:hRule="exact" w:val="95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  <w:tc>
          <w:tcPr>
            <w:tcW w:type="dxa" w:w="3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</w:tr>
      <w:tr>
        <w:trPr>
          <w:trHeight w:hRule="exact" w:val="30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4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pgSz w:w="12240" w:h="15840"/>
          <w:pgMar w:top="732" w:right="1346" w:bottom="1024" w:left="1432" w:header="720" w:footer="720" w:gutter="0"/>
          <w:cols w:space="720" w:num="1" w:equalWidth="0">
            <w:col w:w="9462" w:space="0"/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2nd Year Ph.D Student </w:t>
      </w:r>
    </w:p>
    <w:p>
      <w:pPr>
        <w:sectPr>
          <w:type w:val="continuous"/>
          <w:pgSz w:w="12240" w:h="15840"/>
          <w:pgMar w:top="732" w:right="1346" w:bottom="1024" w:left="1432" w:header="720" w:footer="720" w:gutter="0"/>
          <w:cols w:space="720" w:num="2" w:equalWidth="0">
            <w:col w:w="3684" w:space="0"/>
            <w:col w:w="5778" w:space="0"/>
            <w:col w:w="9462" w:space="0"/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37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3rd Year D.Env Candidate</w:t>
      </w:r>
    </w:p>
    <w:p>
      <w:pPr>
        <w:sectPr>
          <w:type w:val="nextColumn"/>
          <w:pgSz w:w="12240" w:h="15840"/>
          <w:pgMar w:top="732" w:right="1346" w:bottom="1024" w:left="1432" w:header="720" w:footer="720" w:gutter="0"/>
          <w:cols w:space="720" w:num="2" w:equalWidth="0">
            <w:col w:w="3684" w:space="0"/>
            <w:col w:w="5778" w:space="0"/>
            <w:col w:w="9462" w:space="0"/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4"/>
        <w:gridCol w:w="4684"/>
      </w:tblGrid>
      <w:tr>
        <w:trPr>
          <w:trHeight w:hRule="exact" w:val="95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4th Year D.Env Candidate </w:t>
            </w:r>
          </w:p>
        </w:tc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</w:tr>
      <w:tr>
        <w:trPr>
          <w:trHeight w:hRule="exact" w:val="95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3rd Year D.Env Candidate </w:t>
            </w:r>
          </w:p>
        </w:tc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</w:tr>
      <w:tr>
        <w:trPr>
          <w:trHeight w:hRule="exact" w:val="95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5th Year D.Env Candidate </w:t>
            </w:r>
          </w:p>
        </w:tc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Ph.D Student </w:t>
            </w:r>
          </w:p>
        </w:tc>
      </w:tr>
      <w:tr>
        <w:trPr>
          <w:trHeight w:hRule="exact" w:val="127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1st Year D.Env Student</w:t>
            </w:r>
          </w:p>
        </w:tc>
      </w:tr>
      <w:tr>
        <w:trPr>
          <w:trHeight w:hRule="exact" w:val="95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Former 4th Year D.Env Candidate </w:t>
            </w:r>
          </w:p>
        </w:tc>
        <w:tc>
          <w:tcPr>
            <w:tcW w:type="dxa" w:w="3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Former 1st Year Ph.D. Student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4"/>
        <w:gridCol w:w="4684"/>
      </w:tblGrid>
      <w:tr>
        <w:trPr>
          <w:trHeight w:hRule="exact" w:val="950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2nd Year Ph.D Student </w:t>
            </w:r>
          </w:p>
        </w:tc>
        <w:tc>
          <w:tcPr>
            <w:tcW w:type="dxa" w:w="33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32" w:after="0"/>
              <w:ind w:left="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1st Year D.Env Student </w:t>
            </w:r>
          </w:p>
        </w:tc>
      </w:tr>
      <w:tr>
        <w:trPr>
          <w:trHeight w:hRule="exact" w:val="304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28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pgSz w:w="12240" w:h="15840"/>
          <w:pgMar w:top="724" w:right="1440" w:bottom="1440" w:left="1432" w:header="720" w:footer="720" w:gutter="0"/>
          <w:cols w:space="720" w:num="1" w:equalWidth="0">
            <w:col w:w="9368" w:space="0"/>
            <w:col w:w="3684" w:space="0"/>
            <w:col w:w="5778" w:space="0"/>
            <w:col w:w="9462" w:space="0"/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1st Year Ph.D. Student </w:t>
      </w:r>
    </w:p>
    <w:p>
      <w:pPr>
        <w:sectPr>
          <w:type w:val="continuous"/>
          <w:pgSz w:w="12240" w:h="15840"/>
          <w:pgMar w:top="724" w:right="1440" w:bottom="1440" w:left="1432" w:header="720" w:footer="720" w:gutter="0"/>
          <w:cols w:space="720" w:num="2" w:equalWidth="0">
            <w:col w:w="3664" w:space="0"/>
            <w:col w:w="5704" w:space="0"/>
            <w:col w:w="9368" w:space="0"/>
            <w:col w:w="3684" w:space="0"/>
            <w:col w:w="5778" w:space="0"/>
            <w:col w:w="9462" w:space="0"/>
            <w:col w:w="9452" w:space="0"/>
            <w:col w:w="9454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13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1st Year Ph.D Student </w:t>
      </w:r>
    </w:p>
    <w:p>
      <w:pPr>
        <w:autoSpaceDN w:val="0"/>
        <w:autoSpaceDE w:val="0"/>
        <w:widowControl/>
        <w:spacing w:line="230" w:lineRule="auto" w:before="690" w:after="0"/>
        <w:ind w:left="13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1st Year D.Env Student </w:t>
      </w:r>
    </w:p>
    <w:sectPr w:rsidR="00FC693F" w:rsidRPr="0006063C" w:rsidSect="00034616">
      <w:type w:val="nextColumn"/>
      <w:pgSz w:w="12240" w:h="15840"/>
      <w:pgMar w:top="724" w:right="1440" w:bottom="1440" w:left="1432" w:header="720" w:footer="720" w:gutter="0"/>
      <w:cols w:space="720" w:num="2" w:equalWidth="0">
        <w:col w:w="3664" w:space="0"/>
        <w:col w:w="5704" w:space="0"/>
        <w:col w:w="9368" w:space="0"/>
        <w:col w:w="3684" w:space="0"/>
        <w:col w:w="5778" w:space="0"/>
        <w:col w:w="9462" w:space="0"/>
        <w:col w:w="9452" w:space="0"/>
        <w:col w:w="9454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