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2338" w:val="left"/>
        </w:tabs>
        <w:autoSpaceDE w:val="0"/>
        <w:widowControl/>
        <w:spacing w:line="240" w:lineRule="auto" w:before="320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10/14/2020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Black Student Union Letter to UCSB Faculty and Staff Regarding Anti-Black Genocide | Department of Black Studies - UC Santa Barbara</w:t>
      </w:r>
    </w:p>
    <w:p>
      <w:pPr>
        <w:autoSpaceDN w:val="0"/>
        <w:autoSpaceDE w:val="0"/>
        <w:widowControl/>
        <w:spacing w:line="240" w:lineRule="auto" w:before="3226" w:after="0"/>
        <w:ind w:left="560" w:right="0" w:firstLine="0"/>
        <w:jc w:val="left"/>
      </w:pPr>
      <w:r>
        <w:rPr>
          <w:w w:val="98.29875544497841"/>
          <w:rFonts w:ascii="Verdana" w:hAnsi="Verdana" w:eastAsia="Verdana"/>
          <w:b/>
          <w:i w:val="0"/>
          <w:color w:val="333333"/>
          <w:sz w:val="19"/>
        </w:rPr>
        <w:hyperlink r:id="rId9" w:history="1">
          <w:r>
            <w:rPr>
              <w:rStyle w:val="Hyperlink"/>
            </w:rPr>
            <w:t>Department of Black Studies - UC Santa Barbara</w:t>
          </w:r>
        </w:hyperlink>
      </w:r>
    </w:p>
    <w:p>
      <w:pPr>
        <w:autoSpaceDN w:val="0"/>
        <w:autoSpaceDE w:val="0"/>
        <w:widowControl/>
        <w:spacing w:line="240" w:lineRule="auto" w:before="354" w:after="10808"/>
        <w:ind w:left="560" w:right="0" w:firstLine="0"/>
        <w:jc w:val="left"/>
      </w:pPr>
      <w:r>
        <w:rPr>
          <w:w w:val="98.29875544497841"/>
          <w:rFonts w:ascii="Verdana" w:hAnsi="Verdana" w:eastAsia="Verdana"/>
          <w:b/>
          <w:i w:val="0"/>
          <w:color w:val="333333"/>
          <w:sz w:val="19"/>
        </w:rPr>
        <w:t>Black Student Union Letter to UCSB Faculty and Staff Regarding Anti-Black Genocide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7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https://www.blackstudies.ucsb.edu/news/announcement/468</w:t>
            </w:r>
          </w:p>
        </w:tc>
        <w:tc>
          <w:tcPr>
            <w:tcW w:type="dxa" w:w="4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6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10/14/2020</w:t>
            </w:r>
          </w:p>
        </w:tc>
        <w:tc>
          <w:tcPr>
            <w:tcW w:type="dxa" w:w="9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Black Student Union Letter to UCSB Faculty and Staff Regarding Anti-Black Genocide | Department of Black Studies - UC Santa Barbara</w:t>
            </w:r>
          </w:p>
        </w:tc>
      </w:tr>
    </w:tbl>
    <w:p>
      <w:pPr>
        <w:autoSpaceDN w:val="0"/>
        <w:autoSpaceDE w:val="0"/>
        <w:widowControl/>
        <w:spacing w:line="257" w:lineRule="auto" w:before="46" w:after="0"/>
        <w:ind w:left="560" w:right="720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A letter to all UCSB faculty and staff on behalf of the Black Student Union. The letter serves as the BSU's Academic Statement in light of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Anti-Black Genocide</w:t>
      </w:r>
    </w:p>
    <w:p>
      <w:pPr>
        <w:autoSpaceDN w:val="0"/>
        <w:autoSpaceDE w:val="0"/>
        <w:widowControl/>
        <w:spacing w:line="240" w:lineRule="auto" w:before="172" w:after="0"/>
        <w:ind w:left="560" w:right="0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To everyone,</w:t>
      </w:r>
    </w:p>
    <w:p>
      <w:pPr>
        <w:autoSpaceDN w:val="0"/>
        <w:autoSpaceDE w:val="0"/>
        <w:widowControl/>
        <w:spacing w:line="262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We want to start to address the needs of the Black community of students at UCSB with the following statements. This would allow us to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consider how to move forward with changes to this quarter’s grading for faculty and staff who have yet to unanimously accommodate Black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students at such a difficult and traumatizing time.  This letter will be in conjunction with a more generally telling statement by BGSA, Black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Quare, and the BSU about the needs of the Black community with structural requests for change.</w:t>
      </w:r>
    </w:p>
    <w:p>
      <w:pPr>
        <w:autoSpaceDN w:val="0"/>
        <w:autoSpaceDE w:val="0"/>
        <w:widowControl/>
        <w:spacing w:line="264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 1: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“I am exhausted. I am physically and emotionally exhausted. I saw the President of the United States tweet and call my people “thugs,” I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saw him tell the world that he is going to send the military to kill people (it is my people who are going to be the main recipients of this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terror) for stealing. I am exhausted. I have seen countless videos of undercover police officers, white supremacists, and proclaimed “allies”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defacing and damaging property that my people are getting blamed for. I have seen ten times more of those countless videos of Black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bodies continuing to be brutalized by police during these protests, during these protests against police brutality. I am exhausted.</w:t>
      </w:r>
    </w:p>
    <w:p>
      <w:pPr>
        <w:autoSpaceDN w:val="0"/>
        <w:autoSpaceDE w:val="0"/>
        <w:widowControl/>
        <w:spacing w:line="266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I have marched for miles, I have screamed my throat hoarse, I have shed enough tears to fill a Hydroflask. I am exhausted. I was granted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a 48 hour extension on a paper for one class because I was too depressed to write, to speak, to think. I have not experienced this severity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of depression since I hated myself and couldn’t explain why when I was in middle school. I was granted a weeklong extension on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assignments for another class. But even with these extensions, school seems so far away, and is so far from my mind. All I can think about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every..single..day is what are the updates? Where are the missing people in police custody? Are my friends safe? Is my family safe? Why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are nonBlack people at my school trying to hijack my trauma and get their finals cancelled? My people are fighting, my people are being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beaten and attacked with tear gas. My people are risking their lives by gathering and protesting despite this global pandemic that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disproportionately affects MY people because we do not receive standard healthcare. I spent an entire day in a blind rage that nonBlack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members of AS were spreading a petition to get everyone’s finals cancelled. I spent an entire day fighting against the gaslighting and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antiBlackness from my own student politicians. I was supposed to start working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 on my final. I was supposed to be catching up on assignments that I have due but can’t even begin to think about. I am exhausted.</w:t>
      </w:r>
    </w:p>
    <w:p>
      <w:pPr>
        <w:autoSpaceDN w:val="0"/>
        <w:autoSpaceDE w:val="0"/>
        <w:widowControl/>
        <w:spacing w:line="264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My body, my lived experiences, my unique identity that is me, inhabits an intersection of many oppressed or otherwise less privileged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identities. I am Black. I am a woman and I am gender fluid. I am queer. I am a first-generation college student. The things that are going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on right now are literally sucking the life out of me, I cannot give my all to my schoolwork as I was able to do just a month ago, even with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this pandemic. Please, I am exhausted. I should not be forced to continue navigating schoolwork as if my world is not perpetually on edge,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and I should not be punished for requesting or receiving the care that I need from this university right now.”</w:t>
      </w:r>
    </w:p>
    <w:p>
      <w:pPr>
        <w:autoSpaceDN w:val="0"/>
        <w:autoSpaceDE w:val="0"/>
        <w:widowControl/>
        <w:spacing w:line="264" w:lineRule="auto" w:before="222" w:after="0"/>
        <w:ind w:left="560" w:right="432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 2: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“During this very traumatizing time, we have noticed various racist acts committed by UCSB students. A student that currently attends UCSB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engaged in the use of the racial slur “the n-word”. This was done in a frivolous manner and structured as a challenge. The use of the word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was made punishable solely by putting money in a jar. There was also an instance where an admitted student wrote on another student’s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car “I hate Black people” in Mandarin. We are asking the university not to turn a blind eye, and ensure that these students are facing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disciplinary actions for the role they have played in ridiculing Black agony and trauma.”</w:t>
      </w:r>
    </w:p>
    <w:p>
      <w:pPr>
        <w:autoSpaceDN w:val="0"/>
        <w:autoSpaceDE w:val="0"/>
        <w:widowControl/>
        <w:spacing w:line="262" w:lineRule="auto" w:before="222" w:after="0"/>
        <w:ind w:left="560" w:right="720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 3: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“As a black leader on campus I am exhausted with the burden being put on black students. It is not our job to educate you, it is not our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job to advocate and constantly fight to be seen on this campus. We are students like everyone else and should be able to focus on that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instead. It is time for those in power on this campus who say they are working for all students, to finally do their jobs.”</w:t>
      </w:r>
    </w:p>
    <w:p>
      <w:pPr>
        <w:autoSpaceDN w:val="0"/>
        <w:autoSpaceDE w:val="0"/>
        <w:widowControl/>
        <w:spacing w:line="264" w:lineRule="auto" w:before="224" w:after="0"/>
        <w:ind w:left="560" w:right="432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 4: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“I would like the University to do more research into programs that help keep black students on campus and graduate. I sometimes feel like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I’m falling through the cracks of this school because there is a general lack of concern for the wellbeing of students, especially black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students. These programs exist, so please use your resources. A quick investigation on demographics shows a huge disparity in those who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are able to graduate. Even if there are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 resources being made now, they aren’t enough. Never become complacent, otherwise we lose the ability to make progress.”</w:t>
      </w:r>
    </w:p>
    <w:p>
      <w:pPr>
        <w:autoSpaceDN w:val="0"/>
        <w:autoSpaceDE w:val="0"/>
        <w:widowControl/>
        <w:spacing w:line="264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 5:</w:t>
      </w:r>
      <w:r>
        <w:br/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“I would like to see other departments model themselves after a student-centered and empathetic initiative like the Black Studies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department, because there would be no department without the students who erected them through demands and protest (i.e. North Hall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Takeover in 1968). I have had to fight against white supremacy, and nonBlack student’s complacency and performative activism all while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trying to complete my assignments and finals. The North Hall Takeover, over fifty years ago doesn’t seem too far off and I wonder if we as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students still have the agency to enact the same change. Faculty and staff are employed for us, so please be here for us.”</w:t>
      </w:r>
    </w:p>
    <w:p>
      <w:pPr>
        <w:autoSpaceDN w:val="0"/>
        <w:autoSpaceDE w:val="0"/>
        <w:widowControl/>
        <w:spacing w:line="240" w:lineRule="auto" w:before="222" w:after="0"/>
        <w:ind w:left="560" w:right="0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~~~~~~~~~~~~~~~~~~</w:t>
      </w:r>
    </w:p>
    <w:p>
      <w:pPr>
        <w:autoSpaceDN w:val="0"/>
        <w:autoSpaceDE w:val="0"/>
        <w:widowControl/>
        <w:spacing w:line="266" w:lineRule="auto" w:before="222" w:after="0"/>
        <w:ind w:left="560" w:right="576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We hope to see action that directly and clearly responds to the issues that are currently weighing on and debilitating Black students that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attend this institution. We’ve had local and global disasters affect our finals weeks in the past– whether it’s the Thomas fire or the COVID-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19 pandemic–and each crisis was attended to with strategy and utmost attention to the wellbeing of students. So we ask, will you treat this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disaster inflicted on the Black community with the same urgency and care? Better yet, will you go above this by acknowledging that this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anti-Black genocide is not a one-and-done circumstance? Your actions will indicate whether the systemic attack on Black lives is a crisis that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matters to you. We know the system is mutable, because it has been adjusted time and time again for things that mattered to you. With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that, we expect your commitment to Black lives mattering.</w:t>
      </w:r>
    </w:p>
    <w:p>
      <w:pPr>
        <w:autoSpaceDN w:val="0"/>
        <w:autoSpaceDE w:val="0"/>
        <w:widowControl/>
        <w:spacing w:line="254" w:lineRule="auto" w:before="222" w:after="206"/>
        <w:ind w:left="560" w:right="432" w:firstLine="0"/>
        <w:jc w:val="left"/>
      </w:pP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 xml:space="preserve">Our initial request is to the faculty and staff who haven’t already, to provide different grading options for Black students off of our principal </w:t>
      </w:r>
      <w:r>
        <w:rPr>
          <w:w w:val="97.82113393147786"/>
          <w:rFonts w:ascii="Verdana" w:hAnsi="Verdana" w:eastAsia="Verdana"/>
          <w:b w:val="0"/>
          <w:i w:val="0"/>
          <w:color w:val="000000"/>
          <w:sz w:val="15"/>
        </w:rPr>
        <w:t>and pre-existing academic commitments, without us having to fulfill additional strenuous academic work. We understand that adjusting these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0"/>
        </w:trPr>
        <w:tc>
          <w:tcPr>
            <w:tcW w:type="dxa" w:w="7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https://www.blackstudies.ucsb.edu/news/announcement/468</w:t>
            </w:r>
          </w:p>
        </w:tc>
        <w:tc>
          <w:tcPr>
            <w:tcW w:type="dxa" w:w="4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9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66"/>
        </w:trPr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10/14/2020</w:t>
            </w:r>
          </w:p>
        </w:tc>
        <w:tc>
          <w:tcPr>
            <w:tcW w:type="dxa" w:w="9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Black Student Union Letter to UCSB Faculty and Staff Regarding Anti-Black Genocide | Department of Black Studies - UC Santa Barbara</w:t>
            </w:r>
          </w:p>
        </w:tc>
      </w:tr>
    </w:tbl>
    <w:p>
      <w:pPr>
        <w:autoSpaceDN w:val="0"/>
        <w:autoSpaceDE w:val="0"/>
        <w:widowControl/>
        <w:spacing w:line="266" w:lineRule="auto" w:before="46" w:after="0"/>
        <w:ind w:left="560" w:right="432" w:firstLine="0"/>
        <w:jc w:val="left"/>
      </w:pP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courses late in the quarter is not an easy task, and that it may be difficult to achieve depending on deadlines, availability and capacity of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TAs, etc... We would also like to acknowledge the efforts that some faculty and TAs have exhausted in order to accommodate the impossible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situation that the Black community is currently experiencing. We see your solidarity and appreciate it greatly. We ask that departments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across campus extend this same empathy. This can be done by professors making finals optional. With this, we hope for the Black students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that choose to take their finals to be given extensions on them. As for the Black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students that opt out of their finals, we hope that professors will adjust the grading scale to properly reflect the work they have done up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until this point. Black students at UCSB are collectively grieving and this would assist many of us who must now prioritize our mental,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physical, spiritual health and safety and don’t have the capacity to complete the term. We are well aware that this request may be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misconstrued as an opportunity to take advantage of the circumstance, and we expect that your commitment to Black lives would instead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consider how it is impossible for Black people to do so while systemic oppression persists. To be clear, we are requesting a safeguard for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Black students who are at a mental, physical and spiritual standstill and would like their existing academic commitments to be maintained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>and honored.</w:t>
      </w:r>
    </w:p>
    <w:p>
      <w:pPr>
        <w:autoSpaceDN w:val="0"/>
        <w:autoSpaceDE w:val="0"/>
        <w:widowControl/>
        <w:spacing w:line="264" w:lineRule="auto" w:before="222" w:after="0"/>
        <w:ind w:left="560" w:right="576" w:firstLine="0"/>
        <w:jc w:val="left"/>
      </w:pP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Following this initial request, we feel it is important that Black students’ experiences will not be co-opted by everyone to universalize the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student’s needs academically. We are being doubly devalued in the name of “equal opportunity”– where our lives don’t matter and our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experience is diminished by conflating it to a singular  s  truggle for all students. Should we use this idea as the model for academic action,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the institution would fail to center the Black community who are the  very  subjects of this anti-Black genocide. We are literally begging for </w:t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>our livelihoods, please consider this as nothing less.</w:t>
      </w:r>
    </w:p>
    <w:p>
      <w:pPr>
        <w:autoSpaceDN w:val="0"/>
        <w:autoSpaceDE w:val="0"/>
        <w:widowControl/>
        <w:spacing w:line="254" w:lineRule="auto" w:before="222" w:after="112"/>
        <w:ind w:left="560" w:right="8784" w:firstLine="0"/>
        <w:jc w:val="left"/>
      </w:pP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Sincerely,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>The Black Student Union 2019-2020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6120"/>
        <w:gridCol w:w="6120"/>
      </w:tblGrid>
      <w:tr>
        <w:trPr>
          <w:trHeight w:hRule="exact" w:val="201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22120" cy="11823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182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2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 w:val="0"/>
                <w:i w:val="0"/>
                <w:color w:val="000000"/>
                <w:sz w:val="15"/>
              </w:rPr>
              <w:t>June 11, 2020 - 4:38am</w:t>
            </w:r>
          </w:p>
        </w:tc>
      </w:tr>
    </w:tbl>
    <w:p>
      <w:pPr>
        <w:autoSpaceDN w:val="0"/>
        <w:autoSpaceDE w:val="0"/>
        <w:widowControl/>
        <w:spacing w:line="264" w:lineRule="auto" w:before="392" w:after="0"/>
        <w:ind w:left="560" w:right="8640" w:firstLine="0"/>
        <w:jc w:val="left"/>
      </w:pPr>
      <w:r>
        <w:rPr>
          <w:w w:val="97.81152089436848"/>
          <w:rFonts w:ascii="Verdana" w:hAnsi="Verdana" w:eastAsia="Verdana"/>
          <w:b/>
          <w:i w:val="0"/>
          <w:color w:val="000000"/>
          <w:sz w:val="15"/>
        </w:rPr>
        <w:t xml:space="preserve">Department of Black Studies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Room 3631, South Hall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University of California, Santa Barbara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Santa Barbara, CA 93106-3150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Tel: (805) 893-8045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>Fax: (805) 893-3597</w:t>
      </w:r>
    </w:p>
    <w:p>
      <w:pPr>
        <w:autoSpaceDN w:val="0"/>
        <w:autoSpaceDE w:val="0"/>
        <w:widowControl/>
        <w:spacing w:line="259" w:lineRule="auto" w:before="172" w:after="0"/>
        <w:ind w:left="560" w:right="9792" w:firstLine="0"/>
        <w:jc w:val="left"/>
      </w:pPr>
      <w:r>
        <w:rPr>
          <w:w w:val="97.81152089436848"/>
          <w:rFonts w:ascii="Verdana" w:hAnsi="Verdana" w:eastAsia="Verdana"/>
          <w:b/>
          <w:i w:val="0"/>
          <w:color w:val="000000"/>
          <w:sz w:val="15"/>
        </w:rPr>
        <w:t xml:space="preserve">Main Office Hours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 xml:space="preserve">Monday through Friday </w:t>
      </w:r>
      <w:r>
        <w:br/>
      </w:r>
      <w:r>
        <w:rPr>
          <w:w w:val="97.81152089436848"/>
          <w:rFonts w:ascii="Verdana" w:hAnsi="Verdana" w:eastAsia="Verdana"/>
          <w:b w:val="0"/>
          <w:i w:val="0"/>
          <w:color w:val="000000"/>
          <w:sz w:val="15"/>
        </w:rPr>
        <w:t>8am-12pm and 1-5pm</w:t>
      </w:r>
    </w:p>
    <w:p>
      <w:pPr>
        <w:autoSpaceDN w:val="0"/>
        <w:autoSpaceDE w:val="0"/>
        <w:widowControl/>
        <w:spacing w:line="240" w:lineRule="auto" w:before="172" w:after="0"/>
        <w:ind w:left="560" w:right="0" w:firstLine="0"/>
        <w:jc w:val="left"/>
      </w:pPr>
      <w:r>
        <w:rPr>
          <w:w w:val="97.81152089436848"/>
          <w:rFonts w:ascii="Verdana" w:hAnsi="Verdana" w:eastAsia="Verdana"/>
          <w:b/>
          <w:i w:val="0"/>
          <w:color w:val="0000ED"/>
          <w:sz w:val="15"/>
          <w:u w:val="single"/>
        </w:rPr>
        <w:hyperlink r:id="rId11" w:history="1">
          <w:r>
            <w:rPr>
              <w:rStyle w:val="Hyperlink"/>
            </w:rPr>
            <w:t>Faculty &amp; Staff Directory</w:t>
          </w:r>
        </w:hyperlink>
      </w:r>
    </w:p>
    <w:p>
      <w:pPr>
        <w:autoSpaceDN w:val="0"/>
        <w:autoSpaceDE w:val="0"/>
        <w:widowControl/>
        <w:spacing w:line="242" w:lineRule="auto" w:before="162" w:after="262"/>
        <w:ind w:left="560" w:right="0" w:firstLine="0"/>
        <w:jc w:val="left"/>
      </w:pPr>
      <w:r>
        <w:rPr>
          <w:w w:val="97.81152089436848"/>
          <w:rFonts w:ascii="Verdana" w:hAnsi="Verdana" w:eastAsia="Verdana"/>
          <w:b/>
          <w:i w:val="0"/>
          <w:color w:val="0000ED"/>
          <w:sz w:val="15"/>
          <w:u w:val="single"/>
        </w:rPr>
        <w:hyperlink r:id="rId12" w:history="1">
          <w:r>
            <w:rPr>
              <w:rStyle w:val="Hyperlink"/>
            </w:rPr>
            <w:t>Campus Maps</w:t>
          </w:r>
        </w:hyperlink>
      </w:r>
      <w:r>
        <w:rPr>
          <w:w w:val="102.62049161470854"/>
          <w:rFonts w:ascii="Verdana" w:hAnsi="Verdana" w:eastAsia="Verdana"/>
          <w:b/>
          <w:i w:val="0"/>
          <w:color w:val="0000ED"/>
          <w:sz w:val="13"/>
          <w:u w:val="single"/>
        </w:rPr>
        <w:hyperlink r:id="rId12" w:history="1">
          <w:r>
            <w:rPr>
              <w:rStyle w:val="Hyperlink"/>
            </w:rPr>
            <w:t>(http://www.aw.id.ucsb.edu/maps/)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548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0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14" w:history="1">
                <w:r>
                  <w:rPr>
                    <w:rStyle w:val="Hyperlink"/>
                  </w:rPr>
                  <w:t>Visit us on Facebook</w:t>
                </w:r>
              </w:hyperlink>
            </w:r>
          </w:p>
        </w:tc>
        <w:tc>
          <w:tcPr>
            <w:tcW w:type="dxa" w:w="2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28" w:after="0"/>
              <w:ind w:left="0" w:right="2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3/3</w:t>
            </w:r>
          </w:p>
        </w:tc>
      </w:tr>
      <w:tr>
        <w:trPr>
          <w:trHeight w:hRule="exact" w:val="34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16" w:history="1">
                <w:r>
                  <w:rPr>
                    <w:rStyle w:val="Hyperlink"/>
                  </w:rPr>
                  <w:t>Center for Black Studies Research</w:t>
                </w:r>
              </w:hyperlink>
            </w:r>
            <w:r>
              <w:rPr>
                <w:w w:val="102.62049161470854"/>
                <w:rFonts w:ascii="Verdana" w:hAnsi="Verdana" w:eastAsia="Verdana"/>
                <w:b/>
                <w:i w:val="0"/>
                <w:color w:val="0000ED"/>
                <w:sz w:val="13"/>
                <w:u w:val="single"/>
              </w:rPr>
              <w:hyperlink r:id="rId16" w:history="1">
                <w:r>
                  <w:rPr>
                    <w:rStyle w:val="Hyperlink"/>
                  </w:rPr>
                  <w:t>(http://www.research.ucsb.edu/cbs/)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17" w:history="1">
                <w:r>
                  <w:rPr>
                    <w:rStyle w:val="Hyperlink"/>
                  </w:rPr>
                  <w:t>College of Letters and Science</w:t>
                </w:r>
              </w:hyperlink>
            </w:r>
            <w:r>
              <w:rPr>
                <w:w w:val="102.62049161470854"/>
                <w:rFonts w:ascii="Verdana" w:hAnsi="Verdana" w:eastAsia="Verdana"/>
                <w:b/>
                <w:i w:val="0"/>
                <w:color w:val="0000ED"/>
                <w:sz w:val="13"/>
                <w:u w:val="single"/>
              </w:rPr>
              <w:hyperlink r:id="rId17" w:history="1">
                <w:r>
                  <w:rPr>
                    <w:rStyle w:val="Hyperlink"/>
                  </w:rPr>
                  <w:t>(http://www.college.ucsb.edu)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18" w:history="1">
                <w:r>
                  <w:rPr>
                    <w:rStyle w:val="Hyperlink"/>
                  </w:rPr>
                  <w:t>UC Santa Barbara</w:t>
                </w:r>
              </w:hyperlink>
            </w:r>
            <w:r>
              <w:rPr>
                <w:w w:val="102.62049161470854"/>
                <w:rFonts w:ascii="Verdana" w:hAnsi="Verdana" w:eastAsia="Verdana"/>
                <w:b/>
                <w:i w:val="0"/>
                <w:color w:val="0000ED"/>
                <w:sz w:val="13"/>
                <w:u w:val="single"/>
              </w:rPr>
              <w:hyperlink r:id="rId18" w:history="1">
                <w:r>
                  <w:rPr>
                    <w:rStyle w:val="Hyperlink"/>
                  </w:rPr>
                  <w:t>(http://www.ucsb.edu)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19" w:history="1">
                <w:r>
                  <w:rPr>
                    <w:rStyle w:val="Hyperlink"/>
                  </w:rPr>
                  <w:t>Accessibility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20" w:history="1">
                <w:r>
                  <w:rPr>
                    <w:rStyle w:val="Hyperlink"/>
                  </w:rPr>
                  <w:t>Appropriate Use</w:t>
                </w:r>
              </w:hyperlink>
            </w:r>
            <w:r>
              <w:rPr>
                <w:w w:val="102.62049161470854"/>
                <w:rFonts w:ascii="Verdana" w:hAnsi="Verdana" w:eastAsia="Verdana"/>
                <w:b/>
                <w:i w:val="0"/>
                <w:color w:val="0000ED"/>
                <w:sz w:val="13"/>
                <w:u w:val="single"/>
              </w:rPr>
              <w:hyperlink r:id="rId20" w:history="1">
                <w:r>
                  <w:rPr>
                    <w:rStyle w:val="Hyperlink"/>
                  </w:rPr>
                  <w:t>(http://www.policy.ucsb.edu/terms_of_use/)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21" w:history="1">
                <w:r>
                  <w:rPr>
                    <w:rStyle w:val="Hyperlink"/>
                  </w:rPr>
                  <w:t>Webmaster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" cy="444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" cy="4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/>
                <w:i w:val="0"/>
                <w:color w:val="0000ED"/>
                <w:sz w:val="15"/>
                <w:u w:val="single"/>
              </w:rPr>
              <w:hyperlink r:id="rId22" w:history="1">
                <w:r>
                  <w:rPr>
                    <w:rStyle w:val="Hyperlink"/>
                  </w:rPr>
                  <w:t>Privacy</w:t>
                </w:r>
              </w:hyperlink>
            </w:r>
            <w:r>
              <w:rPr>
                <w:w w:val="102.62049161470854"/>
                <w:rFonts w:ascii="Verdana" w:hAnsi="Verdana" w:eastAsia="Verdana"/>
                <w:b/>
                <w:i w:val="0"/>
                <w:color w:val="0000ED"/>
                <w:sz w:val="13"/>
                <w:u w:val="single"/>
              </w:rPr>
              <w:hyperlink r:id="rId22" w:history="1">
                <w:r>
                  <w:rPr>
                    <w:rStyle w:val="Hyperlink"/>
                  </w:rPr>
                  <w:t>(http://www.policy.ucsb.edu/privacy-notification/)</w:t>
                </w:r>
              </w:hyperlink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 w:val="0"/>
                <w:i w:val="0"/>
                <w:color w:val="000000"/>
                <w:sz w:val="15"/>
              </w:rPr>
              <w:t>©2020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 w:val="0"/>
                <w:i w:val="0"/>
                <w:color w:val="000000"/>
                <w:sz w:val="15"/>
              </w:rPr>
              <w:t>The Regents of the University of California.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 w:val="0"/>
                <w:i w:val="0"/>
                <w:color w:val="000000"/>
                <w:sz w:val="15"/>
              </w:rPr>
              <w:t>All Rights Reserved.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left"/>
            </w:pPr>
            <w:r>
              <w:rPr>
                <w:w w:val="97.81152089436848"/>
                <w:rFonts w:ascii="Verdana" w:hAnsi="Verdana" w:eastAsia="Verdana"/>
                <w:b w:val="0"/>
                <w:i w:val="0"/>
                <w:color w:val="000000"/>
                <w:sz w:val="15"/>
              </w:rPr>
              <w:t>UC Santa Barbara, Santa Barbara, CA 93106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8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https://www.blackstudies.ucsb.edu/news/announcement/468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lackstudies.ucsb.edu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blackstudies.ucsb.edu/people" TargetMode="External"/><Relationship Id="rId12" Type="http://schemas.openxmlformats.org/officeDocument/2006/relationships/hyperlink" Target="http://www.aw.id.ucsb.edu/maps/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facebook.com/BlackStudies.UCSB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www.research.ucsb.edu/cbs/" TargetMode="External"/><Relationship Id="rId17" Type="http://schemas.openxmlformats.org/officeDocument/2006/relationships/hyperlink" Target="http://www.college.ucsb.edu/" TargetMode="External"/><Relationship Id="rId18" Type="http://schemas.openxmlformats.org/officeDocument/2006/relationships/hyperlink" Target="http://www.ucsb.edu/" TargetMode="External"/><Relationship Id="rId19" Type="http://schemas.openxmlformats.org/officeDocument/2006/relationships/hyperlink" Target="https://www.blackstudies.ucsb.edu/accessibility" TargetMode="External"/><Relationship Id="rId20" Type="http://schemas.openxmlformats.org/officeDocument/2006/relationships/hyperlink" Target="http://www.policy.ucsb.edu/terms_of_use/" TargetMode="External"/><Relationship Id="rId21" Type="http://schemas.openxmlformats.org/officeDocument/2006/relationships/hyperlink" Target="mailto:athompson@blackstudies.ucsb.edu" TargetMode="External"/><Relationship Id="rId22" Type="http://schemas.openxmlformats.org/officeDocument/2006/relationships/hyperlink" Target="http://www.policy.ucsb.edu/privacy-notification/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