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36" w:after="0"/>
        <w:ind w:left="0" w:right="1392" w:firstLine="0"/>
        <w:jc w:val="right"/>
      </w:pP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October,  2020 </w:t>
      </w:r>
    </w:p>
    <w:p>
      <w:pPr>
        <w:autoSpaceDN w:val="0"/>
        <w:autoSpaceDE w:val="0"/>
        <w:widowControl/>
        <w:spacing w:line="233" w:lineRule="auto" w:before="33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Dear  Dean  Watkins  and  the  Graduate  Division, </w:t>
      </w:r>
    </w:p>
    <w:p>
      <w:pPr>
        <w:autoSpaceDN w:val="0"/>
        <w:autoSpaceDE w:val="0"/>
        <w:widowControl/>
        <w:spacing w:line="264" w:lineRule="auto" w:before="370" w:after="0"/>
        <w:ind w:left="1440" w:right="1386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We,  the  Black  students  of  the  Graduate  Division,  unite  our  voices  with  those  in  the  Schools 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Medicine  and  Dentistry  in  a  fight  against  anti-Blackness  in  STEM.  A  University  that  espouses 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champion  ‘principles  of  community’  and  PRIDE  values  cannot  exist  within  an  institution  that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perpetuates  racial  inequities.  Science  has  a  racism  problem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[1]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and  UCSF  is  no  exception. </w:t>
      </w:r>
    </w:p>
    <w:p>
      <w:pPr>
        <w:autoSpaceDN w:val="0"/>
        <w:autoSpaceDE w:val="0"/>
        <w:widowControl/>
        <w:spacing w:line="266" w:lineRule="auto" w:before="338" w:after="0"/>
        <w:ind w:left="1440" w:right="138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 would  like  to  thank  the  Graduate  Division  Leadership  for  organizing,  listening,  and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responding  to  the  demands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 the  student  petition.  It  is  our  goal  to  continually  urge 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administration  to  combat  structural  racism  in  an  effort  to  empower  current  and  future  Black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trainees.  We  ask  that  this  mission  be  upheld  according  to  the  following  demands,  which  were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drafted  and  edited  by  graduate  students  of  BE-STEM: </w:t>
      </w:r>
    </w:p>
    <w:p>
      <w:pPr>
        <w:autoSpaceDN w:val="0"/>
        <w:autoSpaceDE w:val="0"/>
        <w:widowControl/>
        <w:spacing w:line="252" w:lineRule="auto" w:before="368" w:after="0"/>
        <w:ind w:left="1872" w:right="1728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Action  Items  for  Dismantling  Institutional  Racism  and  Achieving  Racial  Equity  for  Black,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Indigenous,  and  People  of  Color  (BIPOC)  Trainees  at  UCSF </w:t>
      </w:r>
    </w:p>
    <w:p>
      <w:pPr>
        <w:autoSpaceDN w:val="0"/>
        <w:tabs>
          <w:tab w:pos="1800" w:val="left"/>
          <w:tab w:pos="2520" w:val="left"/>
          <w:tab w:pos="2880" w:val="left"/>
        </w:tabs>
        <w:autoSpaceDE w:val="0"/>
        <w:widowControl/>
        <w:spacing w:line="271" w:lineRule="auto" w:before="338" w:after="0"/>
        <w:ind w:left="1440" w:right="1296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1.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[By  Q1  2021]  Collect  and  publish  annual  demographic  data  on  BIPOC. 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 transparent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record  is  required  to  evaluate  progress  and  establish  accountability  toward  racial  equity.  This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annual  public  report  must  include: </w:t>
      </w:r>
      <w:r>
        <w:br/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Data  that  resolves  the  generic  reporting  of  “underrepresented  minorities”  (URM),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“Black/African  American”,  and  “International”  for  students,  faculty,  staff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post-docs.  Specifically,  it  must  inform  on  BIPOC  identities  including,  but  not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limited  to:  American  Descendant  of  Slavery  (ADOS),  African-American,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Afro-Carribean,  Afro-Indigenous,  Chicano/a  and  modeled  after  the  Graduate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Division’s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Program  Statistics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2880" w:val="left"/>
        </w:tabs>
        <w:autoSpaceDE w:val="0"/>
        <w:widowControl/>
        <w:spacing w:line="259" w:lineRule="auto" w:before="54" w:after="0"/>
        <w:ind w:left="252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Details  on  existing  efforts  that  outreach  to  and  recruit  BIPOC  scholars,  including: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conferences  attended,  universities  visited,  list  of  applicants  (applied,  accepted,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 matriculated),  and  the  list  of  UCSF  personnel  involved  in  recruitment. </w:t>
      </w:r>
    </w:p>
    <w:p>
      <w:pPr>
        <w:autoSpaceDN w:val="0"/>
        <w:autoSpaceDE w:val="0"/>
        <w:widowControl/>
        <w:spacing w:line="233" w:lineRule="auto" w:before="54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Statistics  on  the  demographic  enrolled  in  UCSF’s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>Summer  Research  Training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>c.</w:t>
      </w:r>
    </w:p>
    <w:p>
      <w:pPr>
        <w:autoSpaceDN w:val="0"/>
        <w:autoSpaceDE w:val="0"/>
        <w:widowControl/>
        <w:spacing w:line="233" w:lineRule="auto" w:before="38" w:after="0"/>
        <w:ind w:left="2880" w:right="0" w:firstLine="0"/>
        <w:jc w:val="left"/>
      </w:pP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>Program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(SRTP)  and  their  matriculation  into  graduate  programs. </w:t>
      </w:r>
    </w:p>
    <w:p>
      <w:pPr>
        <w:autoSpaceDN w:val="0"/>
        <w:tabs>
          <w:tab w:pos="2880" w:val="left"/>
        </w:tabs>
        <w:autoSpaceDE w:val="0"/>
        <w:widowControl/>
        <w:spacing w:line="252" w:lineRule="auto" w:before="54" w:after="0"/>
        <w:ind w:left="252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Statistics  on  the  demographic  of  students  participating  in  outreach  efforts 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primary  schools  under  the  umbrella  of  SEP. </w:t>
      </w:r>
    </w:p>
    <w:p>
      <w:pPr>
        <w:autoSpaceDN w:val="0"/>
        <w:tabs>
          <w:tab w:pos="1800" w:val="left"/>
        </w:tabs>
        <w:autoSpaceDE w:val="0"/>
        <w:widowControl/>
        <w:spacing w:line="271" w:lineRule="auto" w:before="338" w:after="518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[By  Q1  2021]  Establish  a  specific  and  centralized  budget  to  recruit  Black  graduate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students. 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Currently,  each  graduate  program  independently  recruits  its  graduate  students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  the  expectation  that  they  share  the  Graduate  Divisions  commitment  to  creating 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diverse  and  inclusive  student  body.  Under  this  system,  Black  candidates  are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underrepresented  among  those  invited  for  on-campus  interviews,  and,  in  turn,  are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underrepresented  throughout  the  incoming  classes  of  most  graduate  programs.  We  ask 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 Graduate  Division  take  an  active  role  in  chartering  best  practices  that  can  be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implemented  across  graduate  programs  to  effectively  recruit  and  retain  Black  graduate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609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7548"/>
        </w:trPr>
        <w:tc>
          <w:tcPr>
            <w:tcW w:type="dxa" w:w="2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7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a.</w:t>
            </w:r>
          </w:p>
        </w:tc>
        <w:tc>
          <w:tcPr>
            <w:tcW w:type="dxa" w:w="9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76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Establish  a  paid  position  within  the  Graduate  Division  to  develop  recruitment </w:t>
            </w:r>
          </w:p>
        </w:tc>
      </w:tr>
    </w:tbl>
    <w:p>
      <w:pPr>
        <w:autoSpaceDN w:val="0"/>
        <w:tabs>
          <w:tab w:pos="2880" w:val="left"/>
        </w:tabs>
        <w:autoSpaceDE w:val="0"/>
        <w:widowControl/>
        <w:spacing w:line="264" w:lineRule="auto" w:before="28" w:after="0"/>
        <w:ind w:left="2520" w:right="1440" w:firstLine="0"/>
        <w:jc w:val="left"/>
      </w:pP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pipelines  between  UCSF  and  national  &amp;  international  undergraduate  and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master’s  degree  programs  in  STEM  that  predominantly  enroll  BIPOC  students.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Guarantee  annual  visits  to  UCSF,  which  may  function  as  a  recruitment  event,  for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students  from  these  partnering  institutions. </w:t>
      </w:r>
    </w:p>
    <w:p>
      <w:pPr>
        <w:autoSpaceDN w:val="0"/>
        <w:tabs>
          <w:tab w:pos="2880" w:val="left"/>
        </w:tabs>
        <w:autoSpaceDE w:val="0"/>
        <w:widowControl/>
        <w:spacing w:line="259" w:lineRule="auto" w:before="38" w:after="0"/>
        <w:ind w:left="252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Compensate  UCSF  graduate  students  for  recruiting  on  behalf  of  the  Graduate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Division  at  SACNAS,  ABRCMS,  or  any  other  conference. </w:t>
      </w:r>
    </w:p>
    <w:p>
      <w:pPr>
        <w:autoSpaceDN w:val="0"/>
        <w:tabs>
          <w:tab w:pos="1800" w:val="left"/>
        </w:tabs>
        <w:autoSpaceDE w:val="0"/>
        <w:widowControl/>
        <w:spacing w:line="252" w:lineRule="auto" w:before="340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[By  Q1  2021]   Expand  current  programs  and  develop  new  outreach  initiatives   to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serve  Black  communities. </w:t>
      </w:r>
    </w:p>
    <w:p>
      <w:pPr>
        <w:autoSpaceDN w:val="0"/>
        <w:tabs>
          <w:tab w:pos="2880" w:val="left"/>
        </w:tabs>
        <w:autoSpaceDE w:val="0"/>
        <w:widowControl/>
        <w:spacing w:line="269" w:lineRule="auto" w:before="40" w:after="0"/>
        <w:ind w:left="252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Expand  the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>Science  and  Health  Education  Program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(SEP)  to  ensure  Bay  Area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schools  disproportionately  serving  Black  students  in  science  are  included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financially  compensate  all  its  participants  for  their  work  and  travel  expenses.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Establish  a  paid  long-term  student-mentorship  program  where  UCSF  trainees </w:t>
      </w:r>
      <w:r>
        <w:rPr>
          <w:rFonts w:ascii="Arial" w:hAnsi="Arial" w:eastAsia="Arial"/>
          <w:b w:val="0"/>
          <w:i w:val="0"/>
          <w:color w:val="000000"/>
          <w:sz w:val="22"/>
        </w:rPr>
        <w:t>b.</w:t>
      </w:r>
    </w:p>
    <w:p>
      <w:pPr>
        <w:autoSpaceDN w:val="0"/>
        <w:autoSpaceDE w:val="0"/>
        <w:widowControl/>
        <w:spacing w:line="269" w:lineRule="auto" w:before="40" w:after="0"/>
        <w:ind w:left="288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can  mentor  1-2  students  selected  from  SEP-partnered  classrooms  over  at  least  2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academic  semesters,  as  studies  have  shown  that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longer-form  mentorship  can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have  a  positive  impact  on  Black  students  transitioning  to  college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[2].  Additional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funds  should  be  made  available  for  essential  educational  resources  and  meals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  participating  mentors  and  students. </w:t>
      </w:r>
    </w:p>
    <w:p>
      <w:pPr>
        <w:autoSpaceDN w:val="0"/>
        <w:tabs>
          <w:tab w:pos="2880" w:val="left"/>
        </w:tabs>
        <w:autoSpaceDE w:val="0"/>
        <w:widowControl/>
        <w:spacing w:line="264" w:lineRule="auto" w:before="38" w:after="0"/>
        <w:ind w:left="252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Increase  awareness  of  existing  educational  outreach  programs  housed  by  the </w:t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>UCSF  Center  for  Science  Education  and  Outreach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(CSEO)  and  provide  equitable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financial  supplementation  for  participating  mentors/labs  as  well  as  transportation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 meals  for  the  program’s  students. </w:t>
      </w:r>
    </w:p>
    <w:p>
      <w:pPr>
        <w:autoSpaceDN w:val="0"/>
        <w:tabs>
          <w:tab w:pos="1800" w:val="left"/>
        </w:tabs>
        <w:autoSpaceDE w:val="0"/>
        <w:widowControl/>
        <w:spacing w:line="266" w:lineRule="auto" w:before="340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[By  Q1  2021]  Equitably  compensate  Black  students  involved  in  programming  that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supports  Black  communities  and/or  the  academic  retention  of  Black  scholars. 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Black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student-mentors  and  -leaders  divert  time  from  their  research  to  fulfill  an  unmet  need 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supporting  fellow  Black  trainees.  The  University  is  a  benefactor  of  this  uncompensated  work,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which  includes  retention  of  Black  trainees,  that  reinforces  the  sense  of  community  at  UCSF. </w:t>
      </w:r>
    </w:p>
    <w:p>
      <w:pPr>
        <w:autoSpaceDN w:val="0"/>
        <w:autoSpaceDE w:val="0"/>
        <w:widowControl/>
        <w:spacing w:line="233" w:lineRule="auto" w:before="5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 recognize  that  many  organizations  at  UCSF  support  BIPOC  individuals  in  STEM.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269" w:lineRule="auto" w:before="40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However,  funding  for  many  of  these  programs  are  regulated  by  GPSA/ASGD  and  grossly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limited.   As  such,  we  demand  the  following: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University-provided  accounts  or  credit  cards  to  replace  the  current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reimbursement  system,  which  imposes  an  unnecessary  financial  burden  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trainees. </w:t>
      </w:r>
    </w:p>
    <w:p>
      <w:pPr>
        <w:autoSpaceDN w:val="0"/>
        <w:tabs>
          <w:tab w:pos="2880" w:val="left"/>
        </w:tabs>
        <w:autoSpaceDE w:val="0"/>
        <w:widowControl/>
        <w:spacing w:line="264" w:lineRule="auto" w:before="38" w:after="0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Bank  accounts  where  additional  funds  can  be  directly  allocated  to  RCOs 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serve  BIPOC  learners.  These  funds  should  supplement  the  amount  provided  by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ASGD  and  GPSA  and  will  aid  in  community  building  for  current  and  future  Black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trainees. </w:t>
      </w:r>
    </w:p>
    <w:p>
      <w:pPr>
        <w:autoSpaceDN w:val="0"/>
        <w:tabs>
          <w:tab w:pos="2880" w:val="left"/>
        </w:tabs>
        <w:autoSpaceDE w:val="0"/>
        <w:widowControl/>
        <w:spacing w:line="264" w:lineRule="auto" w:before="54" w:after="864"/>
        <w:ind w:left="252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Development  of  the  “Diversity  Fellows  Program”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Expansion  of  mentorship  and  leadership  awards  (with  financial  compensation)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  annual  conference  for  diversity-oriented  RCOs  to  promote  community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develop  collaborations.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8025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3388"/>
        </w:trPr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11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0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11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[By  Q3  2021]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Reallocate  resources  in  an  equitable  fashion  to  improve  the  experience 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74" w:lineRule="auto" w:before="28" w:after="0"/>
        <w:ind w:left="1800" w:right="1296" w:firstLine="0"/>
        <w:jc w:val="left"/>
      </w:pPr>
      <w:r>
        <w:rPr>
          <w:shd w:val="clear" w:color="auto" w:fill="f7f9fa"/>
          <w:rFonts w:ascii="Arial" w:hAnsi="Arial" w:eastAsia="Arial"/>
          <w:b/>
          <w:i w:val="0"/>
          <w:color w:val="000000"/>
          <w:sz w:val="22"/>
        </w:rPr>
        <w:t xml:space="preserve">of  Black  learners  and  thereby  improve  retention.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  When  Black  learners  are  recruited  to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UCSF,  a  predominantly  white  institution,  they  often  struggle  to  find  community,  adapt  to  the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high  cost  of  living,  and  to  utilize  professional  development  resources  that  are  often  couched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in  structural  racism.  These  problems  are  further  compounded  by  structural  racism  that  has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engendered  socioeconomic  disadvantages  for  Black  students  in  particular  (redlining,  racist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allocation  of  government  grants,  etc).  UCSF  should  work  as  an  institution  to  overcome  these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structural  barriers  to  the  success  and  retention  of  Black  students  by  implementing  the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following: </w:t>
      </w:r>
      <w:r>
        <w:br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shd w:val="clear" w:color="auto" w:fill="f7f9fa"/>
          <w:rFonts w:ascii="Arial" w:hAnsi="Arial" w:eastAsia="Arial"/>
          <w:b/>
          <w:i w:val="0"/>
          <w:color w:val="000000"/>
          <w:sz w:val="22"/>
        </w:rPr>
        <w:t xml:space="preserve">Invest  in  infrastructure  to  support  the  well-being  of  Black  members  of  our </w:t>
      </w:r>
      <w:r>
        <w:tab/>
      </w:r>
      <w:r>
        <w:rPr>
          <w:shd w:val="clear" w:color="auto" w:fill="f7f9fa"/>
          <w:rFonts w:ascii="Arial" w:hAnsi="Arial" w:eastAsia="Arial"/>
          <w:b/>
          <w:i w:val="0"/>
          <w:color w:val="000000"/>
          <w:sz w:val="22"/>
        </w:rPr>
        <w:t xml:space="preserve">community. 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The  well-being  of  Black  students  will  rely,  in  part,  on  their  access  to  safe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spaces  on  campus.  However,  neither  of  UCSF’s  campuses  provide  a  physical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infrastructure  offering  reprieve  for  Black  students,  particularly  at  a  time  when  Black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Americans  are  disproportionately  persecuted.  A  financial  commitment  of  $1.5  million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should  be  allocated  to  identify  and/or  create  such  spaces  at  Mission  Bay  and  Parnassus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that  are  independent  of  the  Multicultural  Resource  Centers  and  prioritized  for  use  by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Black  students. </w:t>
      </w:r>
    </w:p>
    <w:p>
      <w:pPr>
        <w:autoSpaceDN w:val="0"/>
        <w:tabs>
          <w:tab w:pos="2160" w:val="left"/>
        </w:tabs>
        <w:autoSpaceDE w:val="0"/>
        <w:widowControl/>
        <w:spacing w:line="274" w:lineRule="auto" w:before="4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Emergency/Access  Fund: 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UCSF  should  make  available  funds  to  help  students,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especially  those  who  are  first-generation  and  low  income,  to  alleviate  the  stress 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comes  with  covering  basic  needs,  emergency  expenses,  etc.  See  Cornell: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>https://scl.cornell.edu/identity-resources/first-generation-low-income-support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Professional  Development  Fund: 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  UCSF  claims  to  be  a  champion  at  diversity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inclusion,  it  is  imperative  it  takes  steps  to  level  the  scales.  As  such,  UCSF  should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allocate  funds  in  the  form  of  awards  for  Black  students  through  diversity-oriented  RCOs,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such  as  BE-STEM,  which  can  be  used  for  professional  development  resources,  courses,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workshops,  or  travel.  While  there  are  already  funds  available,  this  is  widespread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throughout  the  student  body,  and  also  poorly  advertised.  By  having  this  guaranteed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funding  structure,  it  is  easier  for  Black  students  to  have  a  conversation  with  their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advisors  regarding  these  experiences,  and  the  barriers  to  achieving  such  goals  as 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graduate  student  are  reduced.  Facilitating  these  interactions  and  conversations,  through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materializing  a  Professional  Development  Fund  will  also  aid  in  the  retention  of  Black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students. </w:t>
      </w:r>
    </w:p>
    <w:p>
      <w:pPr>
        <w:autoSpaceDN w:val="0"/>
        <w:tabs>
          <w:tab w:pos="2160" w:val="left"/>
        </w:tabs>
        <w:autoSpaceDE w:val="0"/>
        <w:widowControl/>
        <w:spacing w:line="264" w:lineRule="auto" w:before="38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Legal  Aid: 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Black  individuals  are  more  likely  to  experience  negative  encounters  with  law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enforcement,  and  discriminatory  practices  in  numerous  settings.  Additionally,  some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Black  individuals  may  have  a  non-US  citizenship  status  or  families  outside  the  US. </w:t>
      </w:r>
    </w:p>
    <w:p>
      <w:pPr>
        <w:autoSpaceDN w:val="0"/>
        <w:autoSpaceDE w:val="0"/>
        <w:widowControl/>
        <w:spacing w:line="264" w:lineRule="auto" w:before="38" w:after="0"/>
        <w:ind w:left="2160" w:right="138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UCSF  should  acknowledge  this  hardship  by  providing  and  advertising  legal  resources 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Black  students.  These  resources  would  provide  peace  of  mind  and  allow  students 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thrive  during  their  time  as  a  UCSF  trainee. </w:t>
      </w:r>
    </w:p>
    <w:p>
      <w:pPr>
        <w:autoSpaceDN w:val="0"/>
        <w:tabs>
          <w:tab w:pos="1800" w:val="left"/>
        </w:tabs>
        <w:autoSpaceDE w:val="0"/>
        <w:widowControl/>
        <w:spacing w:line="266" w:lineRule="auto" w:before="338" w:after="578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[By  Q2  2021]  Hire  two  additional  BIPOC  clinicians  for  Student  Health  and  Counseling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Services  (SHCS). 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Under  the  guidance  of  Dr.  Jeanne  Stanford,  SHCS  has  increased 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diversity  of  its  staff  and  maintains  the  lowest  ratio  of  counselors  to  students  (1  to  533)  in 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UC  system,  in  compliance  with  the  International  Accreditation  of  Counseling  Services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(IACS).  However,  there  is  data  to  suggest  that  the  mental  and  emotional  needs  of  Black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6441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49228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956" w:after="0"/>
              <w:ind w:left="18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graduate  students  at  UCSF  are  not  being  met  by  the  resources  provided  by  SHCS.  For </w:t>
            </w:r>
          </w:p>
        </w:tc>
      </w:tr>
    </w:tbl>
    <w:p>
      <w:pPr>
        <w:autoSpaceDN w:val="0"/>
        <w:autoSpaceDE w:val="0"/>
        <w:widowControl/>
        <w:spacing w:line="269" w:lineRule="auto" w:before="28" w:after="0"/>
        <w:ind w:left="1800" w:right="1382" w:firstLine="0"/>
        <w:jc w:val="both"/>
      </w:pP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instance,  the  recommendations  set  forth  by  IACS  are  intended  for  traditional  universities,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which  predominantly  comprise  undergraduate  students.  Since  UCSF  is  an  exclusively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graduate  institution,  adherence  to  these  guidelines  may  not  constitute  sufficient  mental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health  resources  for  our  graduate  students.  Furthermore,  “graduate  students  are  more  than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six  times  as  likely  to  experience  anxiety  and  depression  as  compared  to  the  general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population” </w:t>
      </w:r>
      <w:r>
        <w:rPr>
          <w:u w:val="single" w:color="1154cc"/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u w:val="single"/>
          <w:shd w:val="clear" w:color="auto" w:fill="f7f9fa"/>
          <w:rFonts w:ascii="Arial" w:hAnsi="Arial" w:eastAsia="Arial"/>
          <w:b w:val="0"/>
          <w:i w:val="0"/>
          <w:color w:val="1154CC"/>
          <w:sz w:val="22"/>
        </w:rPr>
        <w:hyperlink r:id="rId17" w:history="1">
          <w:r>
            <w:rPr>
              <w:rStyle w:val="Hyperlink"/>
            </w:rPr>
            <w:t>[3]</w:t>
          </w:r>
        </w:hyperlink>
      </w:r>
      <w:r>
        <w:rPr>
          <w:shd w:val="clear" w:color="auto" w:fill="f7f9fa"/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.  Therefore,  it  is  not  enough  that  UCSF  is  ranked  #1  among  the  UC’s;  SHCS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must  be  held  to  a  higher  standard  if  we  are  to  effectively  support  our  students. </w:t>
      </w:r>
    </w:p>
    <w:p>
      <w:pPr>
        <w:autoSpaceDN w:val="0"/>
        <w:autoSpaceDE w:val="0"/>
        <w:widowControl/>
        <w:spacing w:line="271" w:lineRule="auto" w:before="54" w:after="0"/>
        <w:ind w:left="1800" w:right="1382" w:firstLine="36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SHCS  provide  a  critical  service  to  non-white  graduate  students.  In  the  2019-2020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academic  year,  47%  of  SHCS’s  clients  were  graduate  students  (16%  SON,  12%  SOM,  11%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SOP,  9%  SOD,  &amp;  5%  PT)  and  61%  of  its  clients  were  non-white.  According  to  SHCS,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overrepresentation  of  non-white  clients  disproportionately  burdens  POC  clinicians,  who 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requested  at  noticeably  higher  rates  by  POC  students.  Relatedly,  POC  students  typically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forfeit  earlier  appointments  with  white  clinicians  to  accommodate  the  shortage  of  POC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clinicians.  For  some,  however,  access  to  counseling  services  may  be  time-sensitive. 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need  for  available  therapy  has  become  increasingly  urgent  amidst  the  COVID-19  pandemic,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 disproportionate  killing  of  unarmed  Black  people,  and  as  our  nation  collectively  reckons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its  history  of  racism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8" w:history="1">
          <w:r>
            <w:rPr>
              <w:rStyle w:val="Hyperlink"/>
            </w:rPr>
            <w:t>[4]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&amp;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 xml:space="preserve">  [5]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74" w:lineRule="auto" w:before="354" w:after="848"/>
        <w:ind w:left="1440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7.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[Immediately]  Fund  the  salary  of  the  Assistant  Dean  for  Diversity  and  Learner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Success,  D’Anne  Duncan,  and  increase  the  number  of  hired  full-time  support  staff  to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aid  in  equity  and  inclusion  measures  who  serve  to  benefit  Black  students  in  the </w:t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graduate  division  from  a  sustainable  and  equitable  source.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D’Anne  Duncan  has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operated  as  the  sole  DEI  advocate  for  BIPOC  students  in  the  Graduate  Division,  since  being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hired  in  2017.  Since  then,  she  has  become  the  administrator  and  coordinator  for  a  number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 DEI  efforts  in  the  Graduate  Division  including  (but  not  limited  to):  SRTP,  IMSD,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UC-LEADS.  In  addition  to  this  programming,  D’Anne  serves  as  an  academic  advisor 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many  BIPOC  students  and  is  developing  a  course  for  the  betterment  of  all  learner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experiences.  While  we  appreciate  that  there’s  a  current  search  to  hire  a  program  manager,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  believe  that  a  bigger  team  is  needed  to  accomplish  the  necessary  work  in  increasing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equity.  The  university  can  address  this  as  follows: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Hire,  at  least,  two  staff  members  dedicated  full-time  to  DEI  efforts  that  come  from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diverse  backgrounds  to  aid  in  equity  and  inclusion  measures  who  serve  to  benefit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Black  students  in  the  graduate  division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 We  are  aware  that  UCSF  has  instituted 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hiring  freeze  for  this  year.  However,  the  freeze  specifically  stipulated  that  “[d]uring  this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period,  we  will  consider  exceptions,  with  a  focus  on  positions  that  are  essential 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supporting  our  mission  and  operations  through  this  crisis.”  These  words  were  written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while  the  crisis  at  the  forefront  of  the  minds  of  many  was  COVID-19.  However,  we  must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also  address  the  constant  crisis  of  racism.  On  June  9th,  Chancellor  Hawgood  stated 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UCSF  “must  continue  the  hard  work  of  dismantling...structural  barriers  of  racism 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education  [and]  research”.  We  strongly  believe  that  hiring  at  least  two  additional  support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staff,  thus  expanding  the  current  search,  is  critical  to  supporting  UCSF’s  stated  mission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 educating  and  supporting  trainees  of  color.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4857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65068"/>
        </w:trPr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79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b.</w:t>
            </w:r>
          </w:p>
        </w:tc>
        <w:tc>
          <w:tcPr>
            <w:tcW w:type="dxa" w:w="10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79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Change  the  salary  source  of  the  Assistant  Dean  for  Diversity  and  Learner </w:t>
            </w:r>
          </w:p>
        </w:tc>
      </w:tr>
    </w:tbl>
    <w:p>
      <w:pPr>
        <w:autoSpaceDN w:val="0"/>
        <w:tabs>
          <w:tab w:pos="3032" w:val="left"/>
          <w:tab w:pos="3082" w:val="left"/>
          <w:tab w:pos="3130" w:val="left"/>
          <w:tab w:pos="3600" w:val="left"/>
        </w:tabs>
        <w:autoSpaceDE w:val="0"/>
        <w:widowControl/>
        <w:spacing w:line="274" w:lineRule="auto" w:before="28" w:after="0"/>
        <w:ind w:left="2160" w:right="1296" w:firstLine="0"/>
        <w:jc w:val="left"/>
      </w:pPr>
      <w:r>
        <w:rPr>
          <w:shd w:val="clear" w:color="auto" w:fill="f7f9fa"/>
          <w:rFonts w:ascii="Arial" w:hAnsi="Arial" w:eastAsia="Arial"/>
          <w:b/>
          <w:i w:val="0"/>
          <w:color w:val="000000"/>
          <w:sz w:val="22"/>
        </w:rPr>
        <w:t xml:space="preserve">Success,  D’Anne  Duncan,  to  be  more  equitable  and  sustainable  and  abolish </w:t>
      </w:r>
      <w:r>
        <w:rPr>
          <w:shd w:val="clear" w:color="auto" w:fill="f7f9fa"/>
          <w:rFonts w:ascii="Arial" w:hAnsi="Arial" w:eastAsia="Arial"/>
          <w:b/>
          <w:i w:val="0"/>
          <w:color w:val="000000"/>
          <w:sz w:val="22"/>
        </w:rPr>
        <w:t xml:space="preserve">admission  fees. 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Currently,  the  salary  of  the  Assistant  Dean  for  Diversity  and  Learner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Success,  D’Anne  Duncan,  and  office  related  expenses  are  funded  entirely  by  admission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fees.  Increasing  the  amount  of  fee  waivers  or  removing  admissions  fees  altogether  is  an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effective  strategy  for  recruiting  students  from  disadvantaged  backgrounds.  Thus,  we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believe  that  funding  the  Assistant  Dean  for  Diversity  and  Learner  Success  from  a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demonstrably  exclusionary  source,  such  as  admissions  fees,  is  antithetical  to  UCSF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goals  of  supporting  DEI.  We  request  the  following  changes  to  remediate  this  problem: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A  continuous  decrease  of  5%  in  the  admissions  fees  yearly  and  an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increase  of  20%  in  the  number  of  fee  waivers  offered  yearly  to  increase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equity  during  recruitment,  with  the  ultimate  goal  of  abolishing  exclusionary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barriers  of  entry </w:t>
      </w:r>
      <w:r>
        <w:br/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ii.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A  public  report  on  the  amount  of  fee  waivers  offered  and  a  streamlined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process  of  requesting  fee  waivers </w:t>
      </w:r>
      <w:r>
        <w:br/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iii.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Establishment  of  a  sustainable  and  equitable  funding  source  for  the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Assistant  Dean  for  Diversity  and  Learner  Success  and  its  Program </w:t>
      </w:r>
      <w:r>
        <w:tab/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Managers </w:t>
      </w:r>
    </w:p>
    <w:p>
      <w:pPr>
        <w:autoSpaceDN w:val="0"/>
        <w:tabs>
          <w:tab w:pos="1800" w:val="left"/>
          <w:tab w:pos="2520" w:val="left"/>
          <w:tab w:pos="2880" w:val="left"/>
        </w:tabs>
        <w:autoSpaceDE w:val="0"/>
        <w:widowControl/>
        <w:spacing w:line="271" w:lineRule="auto" w:before="338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8.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[Immediately]  Include  and  compensate  Black  students  and  postdocs  in  faculty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meetings,  groups  and/or  task  forces  involved  in  making  policy  decisions  that  directly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affect  trainees,  faculty  hires,  and  student  recruitment,  admission,  and  retention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across  all  graduate  departments  and  programs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Trainees  should  be  financially  compensated  for  the  time  commitment 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participate  in  those  meetings.  Hours  to  be  compensated  include  both  meeting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time  and  time  for  prior  research,  reading  materials,  slack  and  email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communication  required  to  prepare  for  these  meetings.  Hourly  payment  should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start  at  $20/hr  in  2020  and  be  adjusted  yearly  according  to  inflation. </w:t>
      </w:r>
    </w:p>
    <w:p>
      <w:pPr>
        <w:autoSpaceDN w:val="0"/>
        <w:tabs>
          <w:tab w:pos="2880" w:val="left"/>
        </w:tabs>
        <w:autoSpaceDE w:val="0"/>
        <w:widowControl/>
        <w:spacing w:line="274" w:lineRule="auto" w:before="38" w:after="578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Required  participation  of  a  paid  expert  consultant  who  specializes  and  has 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background  in  studying  institutionalized  racism  and/or  studies  the  history 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BIPOC  people  in  these  task  forces  to  provide  scholarly  knowledge  to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discussions,  adding  depth  and  context  to  the  opinions  of  trainees,  faculty,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administration.  We  also  ask  that  these  individuals  are  vetted  and  agreed  upon  by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diversity  RCOs  like  BE-STEM,  and  are  given  decision-making  capabilities.  Upon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discord,  these  individuals  should  be  granted  the  ability  to  act  on  behalf  of 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unheard  voices  from  BIPOC  graduate  students.  This  position  should  be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respected  and  their  voices  should  be  heard,  whether  they  relay  the  voice 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experience  of  one  student  or  more  students,  to  avoid  serious  experience  dilution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problems,  that  overtime  lead  to  and  perpetuate  gaslighting,  and  loss  in  retention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 Black  students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 task  force  should  also  include  members  that  have  knowledge  of  what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university  policies  are  currently  in  place,  of  the  history  of  implementing  such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policies  and  know  how  quickly  suggestions  can  be  taken  into  action  under 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current  policies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3273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80908"/>
        </w:trPr>
        <w:tc>
          <w:tcPr>
            <w:tcW w:type="dxa" w:w="2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63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d.</w:t>
            </w:r>
          </w:p>
        </w:tc>
        <w:tc>
          <w:tcPr>
            <w:tcW w:type="dxa" w:w="9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636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Task  Forces  should  meet  with  the  Chancellor  Executive  team  soon  after  the </w:t>
            </w:r>
          </w:p>
        </w:tc>
      </w:tr>
    </w:tbl>
    <w:p>
      <w:pPr>
        <w:autoSpaceDN w:val="0"/>
        <w:autoSpaceDE w:val="0"/>
        <w:widowControl/>
        <w:spacing w:line="262" w:lineRule="auto" w:before="28" w:after="0"/>
        <w:ind w:left="2880" w:right="1584" w:firstLine="0"/>
        <w:jc w:val="left"/>
      </w:pP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establishment  of  the  committee  to  present  recommendations  that  need  to  be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enacted  immediately  (30-day  suggestions)  and  follow-up  meetings  to  assess </w:t>
      </w: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2"/>
        </w:rPr>
        <w:t xml:space="preserve">whether  recommendations  were  enacted  and  successful  to  address  the  issues. </w:t>
      </w:r>
    </w:p>
    <w:p>
      <w:pPr>
        <w:autoSpaceDN w:val="0"/>
        <w:tabs>
          <w:tab w:pos="1800" w:val="left"/>
        </w:tabs>
        <w:autoSpaceDE w:val="0"/>
        <w:widowControl/>
        <w:spacing w:line="264" w:lineRule="auto" w:before="624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9.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[By  Q1  2021]  Implement  transparent  and  easily  accessible  policies  and  actions  for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recognition  and  reporting  of  racist  actions  or  behavior  (including  suspected)  of  any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UCSF  employee  to  be  met  with  repercussions  and/or  punishment  for  these  offenses. </w:t>
      </w:r>
    </w:p>
    <w:p>
      <w:pPr>
        <w:autoSpaceDN w:val="0"/>
        <w:tabs>
          <w:tab w:pos="2880" w:val="left"/>
        </w:tabs>
        <w:autoSpaceDE w:val="0"/>
        <w:widowControl/>
        <w:spacing w:line="274" w:lineRule="auto" w:before="38" w:after="0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  demand  the  creation  of  a  post  similar  to  a  CARE  advocate  that  can  help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navigate  the  policies  regarding  filing  a  complaint  about  discrimination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harassment  specifically  regarding  race,  so  complainant  knows  what  to  expect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before  filing  a  complaint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Codifying  common  discriminatory  behavior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0" w:history="1">
          <w:r>
            <w:rPr>
              <w:rStyle w:val="Hyperlink"/>
            </w:rPr>
            <w:t>[6]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(microaggression  x  harassment  x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discrimination  x  retaliation)  and  its  corresponding  punishment  (reduction 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salary,  demotion,  suspension,  dismissal,  among  other  sanctions  outlined  in  APM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016)  and  rehabilitation.  These  rules  should  be  laid  out  publicly  on  the  OPHD,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ODO,  Academic  Senate,  Graduate  Division  and  Postdocs  Office  websites,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communication  of  them  should  be  part  of  training  events  for  faculty  and  trainees. </w:t>
      </w:r>
    </w:p>
    <w:p>
      <w:pPr>
        <w:autoSpaceDN w:val="0"/>
        <w:tabs>
          <w:tab w:pos="2880" w:val="left"/>
        </w:tabs>
        <w:autoSpaceDE w:val="0"/>
        <w:widowControl/>
        <w:spacing w:line="252" w:lineRule="auto" w:before="38" w:after="0"/>
        <w:ind w:left="252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Discriminatory  actions  that  result  in  reduction  in  salary  should  result 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reallocation  of  reduced  salary  to  the  initiatives  listed  above. </w:t>
      </w:r>
    </w:p>
    <w:p>
      <w:pPr>
        <w:autoSpaceDN w:val="0"/>
        <w:tabs>
          <w:tab w:pos="2880" w:val="left"/>
        </w:tabs>
        <w:autoSpaceDE w:val="0"/>
        <w:widowControl/>
        <w:spacing w:line="266" w:lineRule="auto" w:before="54" w:after="0"/>
        <w:ind w:left="252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Transparency  regarding  the  process  to  remove  problematic  faculty  with 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Academic  Senate.  Per  the  sanctions  outlined  in  APM  016,  we  require  that  faculty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found  repeatedly  guilty  of  discrimination  and  harassment  on  the  basis  of  race 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 punished  with  the  most  severe  sanction:  dismissal.  Retaliatory  practices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should  result  in  dismissal  even  if  the  accused  faculty  had  no  previous  complaints. </w:t>
      </w:r>
    </w:p>
    <w:p>
      <w:pPr>
        <w:autoSpaceDN w:val="0"/>
        <w:autoSpaceDE w:val="0"/>
        <w:widowControl/>
        <w:spacing w:line="262" w:lineRule="auto" w:before="340" w:after="0"/>
        <w:ind w:left="1800" w:right="1440" w:hanging="36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10.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[By  Q2  2021]  Defunding  and  divestment  of  the  UCPD,  reallocating  funds  to  build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alternative  roles  to  address  the  needs  of  UC  students,  faculty,  and  employees  and  to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items  outlined  in  2  through  7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2880" w:val="left"/>
        </w:tabs>
        <w:autoSpaceDE w:val="0"/>
        <w:widowControl/>
        <w:spacing w:line="271" w:lineRule="auto" w:before="40" w:after="0"/>
        <w:ind w:left="252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Some  students  have  grown  up  in  neighborhoods  that  were  over  policed  and 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police  presence  at  UCSF  is  retraumatizing.  There’s  no  empirical  data  that  we  can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rehabilitate  racist  police,  however,  there’s  empirical  evidence  that  implicit  bias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training  does  not  lead  to  behavior  change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1" w:history="1">
          <w:r>
            <w:rPr>
              <w:rStyle w:val="Hyperlink"/>
            </w:rPr>
            <w:t>[7]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2" w:history="1">
          <w:r>
            <w:rPr>
              <w:rStyle w:val="Hyperlink"/>
            </w:rPr>
            <w:t>[8]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therefore  the  only  solution  left 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 remove  problematic  police  officers  and  security  guards  on  campus.  Therefore,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  ask  that  UCSF  reduce  police  force  on  campus  by  30%-  50%  this  year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freeze  hiring  for  5-years;  reassess  thereafter. </w:t>
      </w:r>
    </w:p>
    <w:p>
      <w:pPr>
        <w:autoSpaceDN w:val="0"/>
        <w:tabs>
          <w:tab w:pos="2880" w:val="left"/>
        </w:tabs>
        <w:autoSpaceDE w:val="0"/>
        <w:widowControl/>
        <w:spacing w:line="252" w:lineRule="auto" w:before="40" w:after="0"/>
        <w:ind w:left="252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  the  reduction  in  the  police  force,  reallocate  funds  following </w:t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hyperlink r:id="rId23" w:history="1">
          <w:r>
            <w:rPr>
              <w:rStyle w:val="Hyperlink"/>
            </w:rPr>
            <w:t xml:space="preserve"> this  successful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hyperlink r:id="rId23" w:history="1">
          <w:r>
            <w:rPr>
              <w:rStyle w:val="Hyperlink"/>
            </w:rPr>
            <w:t>example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33" w:lineRule="auto" w:before="65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 look  forward  to  your  prompt  response. </w:t>
      </w:r>
    </w:p>
    <w:p>
      <w:pPr>
        <w:autoSpaceDN w:val="0"/>
        <w:autoSpaceDE w:val="0"/>
        <w:widowControl/>
        <w:spacing w:line="233" w:lineRule="auto" w:before="340" w:after="548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 Unwavering  Solidarity,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689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7082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776" w:after="0"/>
              <w:ind w:left="1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Black  Excellence  in  STEM  (BE-STEM)  at  UCSF </w:t>
            </w:r>
          </w:p>
        </w:tc>
      </w:tr>
    </w:tbl>
    <w:p>
      <w:pPr>
        <w:autoSpaceDN w:val="0"/>
        <w:autoSpaceDE w:val="0"/>
        <w:widowControl/>
        <w:spacing w:line="233" w:lineRule="auto" w:before="260" w:after="0"/>
        <w:ind w:left="1440" w:right="0" w:firstLine="0"/>
        <w:jc w:val="left"/>
      </w:pPr>
      <w:r>
        <w:rPr>
          <w:shd w:val="clear" w:color="auto" w:fill="f7f9fa"/>
          <w:rFonts w:ascii="Arial" w:hAnsi="Arial" w:eastAsia="Arial"/>
          <w:b w:val="0"/>
          <w:i w:val="0"/>
          <w:color w:val="000000"/>
          <w:sz w:val="24"/>
        </w:rPr>
        <w:t xml:space="preserve">____________________________________ </w:t>
      </w:r>
    </w:p>
    <w:p>
      <w:pPr>
        <w:autoSpaceDN w:val="0"/>
        <w:autoSpaceDE w:val="0"/>
        <w:widowControl/>
        <w:spacing w:line="233" w:lineRule="auto" w:before="6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References: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4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[1] “Science  Has  a  Racism  Problem.,” 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  Cell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 vol.  181,  no.  7.  Elsevier,  pp.  1443–1444,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09-Jun-2020.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4" w:history="1">
          <w:r>
            <w:rPr>
              <w:rStyle w:val="Hyperlink"/>
            </w:rPr>
            <w:t>https://doi.org/10.1016/j.cell.2020.06.009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[2] Booker,  K  and  Brevard,  E.  “Why  Mentoring  Matters:  African-American  Students  and 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Transiti</w:t>
      </w:r>
      <w:r>
        <w:rPr>
          <w:rFonts w:ascii="Arial" w:hAnsi="Arial" w:eastAsia="Arial"/>
          <w:b w:val="0"/>
          <w:i w:val="0"/>
          <w:color w:val="000000"/>
          <w:sz w:val="22"/>
        </w:rPr>
        <w:hyperlink r:id="rId25" w:history="1">
          <w:r>
            <w:rPr>
              <w:rStyle w:val="Hyperlink"/>
            </w:rPr>
            <w:t xml:space="preserve">on  to  College”,  T </w:t>
          </w:r>
        </w:hyperlink>
      </w:r>
      <w:r>
        <w:rPr>
          <w:rFonts w:ascii="Arial" w:hAnsi="Arial" w:eastAsia="Arial"/>
          <w:b w:val="0"/>
          <w:i/>
          <w:color w:val="000000"/>
          <w:sz w:val="22"/>
        </w:rPr>
        <w:hyperlink r:id="rId25" w:history="1">
          <w:r>
            <w:rPr>
              <w:rStyle w:val="Hyperlink"/>
            </w:rPr>
            <w:t>he  Mentor:  Innovativ</w:t>
          </w:r>
        </w:hyperlink>
      </w:r>
      <w:r>
        <w:rPr>
          <w:rFonts w:ascii="Arial" w:hAnsi="Arial" w:eastAsia="Arial"/>
          <w:b w:val="0"/>
          <w:i/>
          <w:color w:val="000000"/>
          <w:sz w:val="22"/>
        </w:rPr>
        <w:t xml:space="preserve">e  Scholarship  on  Academic  Advising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 vol.  19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(2017).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5" w:history="1">
          <w:r>
            <w:rPr>
              <w:rStyle w:val="Hyperlink"/>
            </w:rPr>
            <w:t>https://doi.org/10.26209/MJ1961245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[3]   Evans,  </w:t>
      </w:r>
      <w:r>
        <w:rPr>
          <w:rFonts w:ascii="Arial" w:hAnsi="Arial" w:eastAsia="Arial"/>
          <w:b w:val="0"/>
          <w:i w:val="0"/>
          <w:color w:val="000000"/>
          <w:sz w:val="22"/>
        </w:rPr>
        <w:hyperlink r:id="rId25" w:history="1">
          <w:r>
            <w:rPr>
              <w:rStyle w:val="Hyperlink"/>
            </w:rPr>
            <w:t xml:space="preserve">T.,  Bira,  L.,  Gastelum,  J.  </w:t>
          </w:r>
        </w:hyperlink>
      </w:r>
      <w:r>
        <w:rPr>
          <w:rFonts w:ascii="Arial" w:hAnsi="Arial" w:eastAsia="Arial"/>
          <w:b w:val="0"/>
          <w:i/>
          <w:color w:val="000000"/>
          <w:sz w:val="22"/>
        </w:rPr>
        <w:hyperlink r:id="rId25" w:history="1">
          <w:r>
            <w:rPr>
              <w:rStyle w:val="Hyperlink"/>
            </w:rPr>
            <w:t xml:space="preserve">et  al. 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hyperlink r:id="rId25" w:history="1">
          <w:r>
            <w:rPr>
              <w:rStyle w:val="Hyperlink"/>
            </w:rPr>
            <w:t xml:space="preserve">  Eviden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ce  for  a  mental  health  crisis  in  graduate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education.  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Nat  Biotechnol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36, 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282–284  (2018).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6" w:history="1">
          <w:r>
            <w:rPr>
              <w:rStyle w:val="Hyperlink"/>
            </w:rPr>
            <w:t>https://doi.org/10.1038/nbt.4089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[4] Fatal  Force:  Police  shootings  database.  (2020,  January  22).  Retrieved  September  09,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2020,  from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8" w:history="1">
          <w:r>
            <w:rPr>
              <w:rStyle w:val="Hyperlink"/>
            </w:rPr>
            <w:t>https://www.washingtonpost.com/graphics/investigations/police-shootings-database/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[5] Czeisler,  M.E.  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et.  al.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Mental  Health,  Substance  Use,  and  Suicidal  Ideation  During  the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COVID-19  Pandemic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 xml:space="preserve">  —  United  States,  June  24–30,  2020.  </w:t>
          </w:r>
        </w:hyperlink>
      </w:r>
      <w:r>
        <w:rPr>
          <w:rFonts w:ascii="Arial" w:hAnsi="Arial" w:eastAsia="Arial"/>
          <w:b w:val="0"/>
          <w:i/>
          <w:color w:val="000000"/>
          <w:sz w:val="22"/>
        </w:rPr>
        <w:hyperlink r:id="rId19" w:history="1">
          <w:r>
            <w:rPr>
              <w:rStyle w:val="Hyperlink"/>
            </w:rPr>
            <w:t xml:space="preserve">MMWR 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9" w:history="1">
          <w:r>
            <w:rPr>
              <w:rStyle w:val="Hyperlink"/>
            </w:rPr>
            <w:t xml:space="preserve">69,  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>1049-1057  (20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20).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[6] Issuing  Authority  This  guidance  document  was  issued  upon  approval  of  the  Chair  of 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U.S.  Equal  Employment  Opportunity  Commission.  (n.d.).  Facts  about  Race/Color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Discrimination.  Retrieved  from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0" w:history="1">
          <w:r>
            <w:rPr>
              <w:rStyle w:val="Hyperlink"/>
            </w:rPr>
            <w:t>https://www.eeoc.gov/laws/guidance/facts-about-racecolor-discrimination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[7] Dobbin,  Frank,  and  Alexandra  Kalev.  2018.  “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7" w:history="1">
          <w:r>
            <w:rPr>
              <w:rStyle w:val="Hyperlink"/>
            </w:rPr>
            <w:t>Why  Diversity  Training  Doesn’t  Work:  The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7" w:history="1">
          <w:r>
            <w:rPr>
              <w:rStyle w:val="Hyperlink"/>
            </w:rPr>
            <w:t>Challenge  for  Industry  and  Academia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>”.  Anthr</w:t>
      </w:r>
      <w:r>
        <w:rPr>
          <w:rFonts w:ascii="Arial" w:hAnsi="Arial" w:eastAsia="Arial"/>
          <w:b w:val="0"/>
          <w:i w:val="0"/>
          <w:color w:val="000000"/>
          <w:sz w:val="22"/>
        </w:rPr>
        <w:hyperlink r:id="rId27" w:history="1">
          <w:r>
            <w:rPr>
              <w:rStyle w:val="Hyperlink"/>
            </w:rPr>
            <w:t xml:space="preserve">opology  Now  10  (2):48-55. </w:t>
          </w:r>
        </w:hyperlink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8" w:after="0"/>
        <w:ind w:left="1440" w:right="144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8" w:history="1">
          <w:r>
            <w:rPr>
              <w:rStyle w:val="Hyperlink"/>
            </w:rPr>
            <w:t>https://doi.org/10.1080/19428200.2018.1493182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[8] </w:t>
      </w:r>
      <w:r>
        <w:rPr>
          <w:rFonts w:ascii="Arial" w:hAnsi="Arial" w:eastAsia="Arial"/>
          <w:b w:val="0"/>
          <w:i w:val="0"/>
          <w:color w:val="000000"/>
          <w:sz w:val="22"/>
        </w:rPr>
        <w:hyperlink r:id="rId28" w:history="1">
          <w:r>
            <w:rPr>
              <w:rStyle w:val="Hyperlink"/>
            </w:rPr>
            <w:t>Forscher,  P.  S.,  Lai,  C.  K.,  Axt,  J.  R.,  Ebersole,  C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 R.,  Herman,  M.,  Devine,  P.  G.,  &amp;  Nosek,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B.  A.  (2019).  A  meta-analysis  of  procedures  to  change  implicit  measures.  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Journal  of </w:t>
      </w:r>
      <w:r>
        <w:tab/>
      </w:r>
      <w:r>
        <w:rPr>
          <w:rFonts w:ascii="Arial" w:hAnsi="Arial" w:eastAsia="Arial"/>
          <w:b w:val="0"/>
          <w:i/>
          <w:color w:val="000000"/>
          <w:sz w:val="22"/>
        </w:rPr>
        <w:t xml:space="preserve">Personality  and  Social  Psychology,  117 </w:t>
      </w:r>
      <w:r>
        <w:rPr>
          <w:rFonts w:ascii="Arial" w:hAnsi="Arial" w:eastAsia="Arial"/>
          <w:b w:val="0"/>
          <w:i w:val="0"/>
          <w:color w:val="000000"/>
          <w:sz w:val="22"/>
        </w:rPr>
        <w:t>(3),  522–559.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 </w:t>
      </w:r>
      <w:r>
        <w:rPr>
          <w:u w:val="single" w:color="1154cc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9" w:history="1">
          <w:r>
            <w:rPr>
              <w:rStyle w:val="Hyperlink"/>
            </w:rPr>
            <w:t>https://doi.org/10.1037/pspa0000160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</w:p>
    <w:p>
      <w:pPr>
        <w:autoSpaceDN w:val="0"/>
        <w:autoSpaceDE w:val="0"/>
        <w:widowControl/>
        <w:spacing w:line="233" w:lineRule="auto" w:before="6144" w:after="0"/>
        <w:ind w:left="0" w:right="139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7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ell.com/cell/pdf/S0092-8674(20)30740-6.pdf" TargetMode="External"/><Relationship Id="rId10" Type="http://schemas.openxmlformats.org/officeDocument/2006/relationships/hyperlink" Target="https://graduate.ucsf.edu/petition-response" TargetMode="External"/><Relationship Id="rId11" Type="http://schemas.openxmlformats.org/officeDocument/2006/relationships/hyperlink" Target="https://graduate.ucsf.edu/program-statistics" TargetMode="External"/><Relationship Id="rId12" Type="http://schemas.openxmlformats.org/officeDocument/2006/relationships/hyperlink" Target="https://graduate.ucsf.edu/srtp" TargetMode="External"/><Relationship Id="rId13" Type="http://schemas.openxmlformats.org/officeDocument/2006/relationships/hyperlink" Target="http://sep.ucsf.edu/" TargetMode="External"/><Relationship Id="rId14" Type="http://schemas.openxmlformats.org/officeDocument/2006/relationships/hyperlink" Target="https://journals.psu.edu/mentor/article/view/61245/60877" TargetMode="External"/><Relationship Id="rId15" Type="http://schemas.openxmlformats.org/officeDocument/2006/relationships/hyperlink" Target="https://cseo.ucsf.edu/programs" TargetMode="External"/><Relationship Id="rId16" Type="http://schemas.openxmlformats.org/officeDocument/2006/relationships/hyperlink" Target="https://scl.cornell.edu/identity-resources/first-generation-low-income-support" TargetMode="External"/><Relationship Id="rId17" Type="http://schemas.openxmlformats.org/officeDocument/2006/relationships/hyperlink" Target="https://www.nature.com/articles/nbt.4089" TargetMode="External"/><Relationship Id="rId18" Type="http://schemas.openxmlformats.org/officeDocument/2006/relationships/hyperlink" Target="https://www.washingtonpost.com/graphics/investigations/police-shootings-database/" TargetMode="External"/><Relationship Id="rId19" Type="http://schemas.openxmlformats.org/officeDocument/2006/relationships/hyperlink" Target="https://www.cdc.gov/mmwr/volumes/69/wr/mm6932a1.htm" TargetMode="External"/><Relationship Id="rId20" Type="http://schemas.openxmlformats.org/officeDocument/2006/relationships/hyperlink" Target="https://www.eeoc.gov/laws/guidance/facts-about-racecolor-discrimination" TargetMode="External"/><Relationship Id="rId21" Type="http://schemas.openxmlformats.org/officeDocument/2006/relationships/hyperlink" Target="https://scholar.harvard.edu/files/dobbin/files/an2018.pdf" TargetMode="External"/><Relationship Id="rId22" Type="http://schemas.openxmlformats.org/officeDocument/2006/relationships/hyperlink" Target="https://psycnet.apa.org/doiLanding?doi=10.1037%2Fpspa0000160" TargetMode="External"/><Relationship Id="rId23" Type="http://schemas.openxmlformats.org/officeDocument/2006/relationships/hyperlink" Target="https://www.huffpost.com/entry/austin-city-council-cuts-police-budget-by-one-third_n_5f3683a6c5b69fa9e2fa4e27?ncid=tweetlnkushpmg00000067" TargetMode="External"/><Relationship Id="rId24" Type="http://schemas.openxmlformats.org/officeDocument/2006/relationships/hyperlink" Target="https://doi.org/10.1016/j.cell.2020.06.009" TargetMode="External"/><Relationship Id="rId25" Type="http://schemas.openxmlformats.org/officeDocument/2006/relationships/hyperlink" Target="https://doi.org/10.26209/MJ1961245" TargetMode="External"/><Relationship Id="rId26" Type="http://schemas.openxmlformats.org/officeDocument/2006/relationships/hyperlink" Target="https://doi.org/10.1038/nbt.4089" TargetMode="External"/><Relationship Id="rId27" Type="http://schemas.openxmlformats.org/officeDocument/2006/relationships/hyperlink" Target="https://scholar.harvard.edu/dobbin/publications/why-diversity-training-doesn%E2%80%99t-work-challenge-industry-and-academia" TargetMode="External"/><Relationship Id="rId28" Type="http://schemas.openxmlformats.org/officeDocument/2006/relationships/hyperlink" Target="https://doi.org/10.1080/19428200.2018.1493182" TargetMode="External"/><Relationship Id="rId29" Type="http://schemas.openxmlformats.org/officeDocument/2006/relationships/hyperlink" Target="https://psycnet.apa.org/doi/10.1037/pspa0000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