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30" w:lineRule="auto" w:before="1452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Dear   CLaSP   Faculty, </w:t>
      </w:r>
    </w:p>
    <w:p>
      <w:pPr>
        <w:autoSpaceDN w:val="0"/>
        <w:autoSpaceDE w:val="0"/>
        <w:widowControl/>
        <w:spacing w:line="247" w:lineRule="auto" w:before="306" w:after="0"/>
        <w:ind w:left="1440" w:right="1440" w:firstLine="720"/>
        <w:jc w:val="left"/>
      </w:pP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We   first   want   to   thank   each   and   every   one   of   you  for   the   work   you  do  everyday   to   push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our   department   to   be   on  the   forefront   of   climate   and   space   sciences.   Our   department’s </w:t>
      </w:r>
      <w:r>
        <w:br/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exceptional   contributions   to   society   are   a   reflection   of   our   shared   commitment   to   championing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bold,   creative,   and   divergent   scholars.   Unfortunately,  our   ability   to   serve   our   community   as   the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Leaders   and   Best   is   put   at   risk  when   scholars   of   color   do  not   feel   at   home   here.  </w:t>
      </w:r>
      <w:r>
        <w:rPr>
          <w:u w:val="single" w:color="1154cc"/>
          <w:rFonts w:ascii="Times New Roman" w:hAnsi="Times New Roman" w:eastAsia="Times New Roman"/>
          <w:b w:val="0"/>
          <w:i w:val="0"/>
          <w:color w:val="212121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9" w:history="1">
          <w:r>
            <w:rPr>
              <w:rStyle w:val="Hyperlink"/>
            </w:rPr>
            <w:t>The   geosciences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9" w:history="1">
          <w:r>
            <w:rPr>
              <w:rStyle w:val="Hyperlink"/>
            </w:rPr>
            <w:t>are   among   the   least   diverse   fields   in   STEM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>,  and   CLaSP   is   no  different.   We   reco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hyperlink r:id="rId9" w:history="1">
          <w:r>
            <w:rPr>
              <w:rStyle w:val="Hyperlink"/>
            </w:rPr>
            <w:t>gnize   significant</w:t>
          </w:r>
        </w:hyperlink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efforts   in   our   department,   including   the  </w:t>
      </w:r>
      <w:r>
        <w:rPr>
          <w:u w:val="single" w:color="1154cc"/>
          <w:rFonts w:ascii="Times New Roman" w:hAnsi="Times New Roman" w:eastAsia="Times New Roman"/>
          <w:b w:val="0"/>
          <w:i w:val="0"/>
          <w:color w:val="212121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0" w:history="1">
          <w:r>
            <w:rPr>
              <w:rStyle w:val="Hyperlink"/>
            </w:rPr>
            <w:t>G.R.E.A.T   workshop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, </w:t>
      </w:r>
      <w:r>
        <w:rPr>
          <w:u w:val="single" w:color="1154cc"/>
          <w:rFonts w:ascii="Times New Roman" w:hAnsi="Times New Roman" w:eastAsia="Times New Roman"/>
          <w:b w:val="0"/>
          <w:i w:val="0"/>
          <w:color w:val="212121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1" w:history="1">
          <w:r>
            <w:rPr>
              <w:rStyle w:val="Hyperlink"/>
            </w:rPr>
            <w:t>a   dedicated   diversity   statement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,  a 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2" w:history="1">
          <w:r>
            <w:rPr>
              <w:rStyle w:val="Hyperlink"/>
            </w:rPr>
            <w:t>faculty-led   diversity,  equity,  and   inclusion   committee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,  and   dedicated   Diversity   Allies.   However,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it   is   clear   from   societal   circumstances   that   the   current   trajectory   of   progress   is   insufficient.   We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hope   you  agree   we   must   do  better. </w:t>
      </w:r>
    </w:p>
    <w:p>
      <w:pPr>
        <w:autoSpaceDN w:val="0"/>
        <w:autoSpaceDE w:val="0"/>
        <w:widowControl/>
        <w:spacing w:line="245" w:lineRule="auto" w:before="304" w:after="0"/>
        <w:ind w:left="1440" w:right="1296" w:firstLine="0"/>
        <w:jc w:val="left"/>
      </w:pPr>
      <w:r>
        <w:rPr>
          <w:rFonts w:ascii="Times New Roman" w:hAnsi="Times New Roman" w:eastAsia="Times New Roman"/>
          <w:b/>
          <w:i w:val="0"/>
          <w:color w:val="212121"/>
          <w:sz w:val="24"/>
        </w:rPr>
        <w:t xml:space="preserve">Goal   1:   Grow   CLaSP   to   better   reflect   and   educate   the   communities   it   serves.  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Our   current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recruitment   and   admissions   practices   and   policies   are   largely   responsible   for   how   our   department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looks   today.  These   processes   are   ripe   for   critical   examination   and   innovation. </w:t>
      </w:r>
    </w:p>
    <w:p>
      <w:pPr>
        <w:autoSpaceDN w:val="0"/>
        <w:autoSpaceDE w:val="0"/>
        <w:widowControl/>
        <w:spacing w:line="247" w:lineRule="auto" w:before="20" w:after="0"/>
        <w:ind w:left="1440" w:right="1440" w:firstLine="720"/>
        <w:jc w:val="left"/>
      </w:pPr>
      <w:r>
        <w:rPr>
          <w:rFonts w:ascii="Times New Roman" w:hAnsi="Times New Roman" w:eastAsia="Times New Roman"/>
          <w:b w:val="0"/>
          <w:i/>
          <w:color w:val="212121"/>
          <w:sz w:val="24"/>
        </w:rPr>
        <w:t xml:space="preserve">Faculty. 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The   recruitment   and   tenure   processes   for   faculty   who   will   be   mentoring   and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teaching   our   students   are   opaque.   Despite   student   involvement   in   the  </w:t>
      </w:r>
      <w:r>
        <w:rPr>
          <w:u w:val="single" w:color="1154cc"/>
          <w:rFonts w:ascii="Times New Roman" w:hAnsi="Times New Roman" w:eastAsia="Times New Roman"/>
          <w:b w:val="0"/>
          <w:i w:val="0"/>
          <w:color w:val="212121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3" w:history="1">
          <w:r>
            <w:rPr>
              <w:rStyle w:val="Hyperlink"/>
            </w:rPr>
            <w:t>recent   faculty   recruitment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3" w:history="1">
          <w:r>
            <w:rPr>
              <w:rStyle w:val="Hyperlink"/>
            </w:rPr>
            <w:t>process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>,  it   is   not   clear   how   student   feedback   informed   the   selection.   F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hyperlink r:id="rId13" w:history="1">
          <w:r>
            <w:rPr>
              <w:rStyle w:val="Hyperlink"/>
            </w:rPr>
            <w:t xml:space="preserve">urthermore,   it   is   not   clear </w:t>
          </w:r>
        </w:hyperlink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who   applied,   who   was   encouraged   to   apply,  and   how   the   required   diversity   statement   was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factored   into   generating   the   shortlist   of   interviewed   candidates.   Going  forward,   we   propose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utilizing   transparency   as   a   fundamental   check   on </w:t>
      </w:r>
      <w:r>
        <w:rPr>
          <w:u w:val="single" w:color="1154cc"/>
          <w:rFonts w:ascii="Times New Roman" w:hAnsi="Times New Roman" w:eastAsia="Times New Roman"/>
          <w:b w:val="0"/>
          <w:i w:val="0"/>
          <w:color w:val="212121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4" w:history="1">
          <w:r>
            <w:rPr>
              <w:rStyle w:val="Hyperlink"/>
            </w:rPr>
            <w:t>the   inherent   vulnerability   of   search   committees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to   construct   evaluations   of   merit   that   fail   to   capture   the   contributions   and   potential   of   scholars   of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color.  Future   search   and   tenure   committees   should   include   students   as   voting   members   and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instrumental   to   each   step   in   the   process.   We   also   propose   ensuring   the   recruitment   and   tenure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processes   require   external   letters   that   evaluate   teaching   and   public   outreach   to   replace   two  of   the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five   total   external   letters.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20" w:after="0"/>
        <w:ind w:left="1440" w:right="1728" w:firstLine="0"/>
        <w:jc w:val="left"/>
      </w:pPr>
      <w:r>
        <w:tab/>
      </w:r>
      <w:r>
        <w:rPr>
          <w:rFonts w:ascii="Times New Roman" w:hAnsi="Times New Roman" w:eastAsia="Times New Roman"/>
          <w:b w:val="0"/>
          <w:i/>
          <w:color w:val="212121"/>
          <w:sz w:val="24"/>
        </w:rPr>
        <w:t xml:space="preserve">Graduate   Students.  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The  </w:t>
      </w:r>
      <w:r>
        <w:rPr>
          <w:u w:val="single" w:color="1154cc"/>
          <w:rFonts w:ascii="Times New Roman" w:hAnsi="Times New Roman" w:eastAsia="Times New Roman"/>
          <w:b w:val="0"/>
          <w:i w:val="0"/>
          <w:color w:val="212121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5" w:history="1">
          <w:r>
            <w:rPr>
              <w:rStyle w:val="Hyperlink"/>
            </w:rPr>
            <w:t>admissions   requirements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4"/>
        </w:rPr>
        <w:t xml:space="preserve"> 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 on  the   CLaSP   website   may   provide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useful   guidance   to   potential   applicants   and   help   filter   through   competitive   applications. </w:t>
      </w:r>
    </w:p>
    <w:p>
      <w:pPr>
        <w:autoSpaceDN w:val="0"/>
        <w:autoSpaceDE w:val="0"/>
        <w:widowControl/>
        <w:spacing w:line="247" w:lineRule="auto" w:before="20" w:after="0"/>
        <w:ind w:left="1440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However,  it   may   also   serve   to  </w:t>
      </w:r>
      <w:r>
        <w:rPr>
          <w:u w:val="single" w:color="1154cc"/>
          <w:rFonts w:ascii="Times New Roman" w:hAnsi="Times New Roman" w:eastAsia="Times New Roman"/>
          <w:b w:val="0"/>
          <w:i w:val="0"/>
          <w:color w:val="212121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6" w:history="1">
          <w:r>
            <w:rPr>
              <w:rStyle w:val="Hyperlink"/>
            </w:rPr>
            <w:t>discourage   future   scholars   who   do  not   exactly   fit   the   template   for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6" w:history="1">
          <w:r>
            <w:rPr>
              <w:rStyle w:val="Hyperlink"/>
            </w:rPr>
            <w:t>acceptable   candidates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>,  resultin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hyperlink r:id="rId16" w:history="1">
          <w:r>
            <w:rPr>
              <w:rStyle w:val="Hyperlink"/>
            </w:rPr>
            <w:t xml:space="preserve">g   in   a   less  diverse   applicant   pool.   We   believe   that   this   risk  is   high </w:t>
          </w:r>
        </w:hyperlink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and   contributes   to   the   “leaky   pipeline”   for   women   and   people   of   color   in   STEM,   and   that   this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risk  far   outweighs   any   perceived   benefits.   Instead,   the   department   could   develop   summer   courses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to   bridge   any   gaps   for   accepted   students. 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Application   fees   should   be   waived,   perhaps   using   one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of   the   many  </w:t>
      </w:r>
      <w:r>
        <w:rPr>
          <w:u w:val="single" w:color="1154cc"/>
          <w:rFonts w:ascii="Times New Roman" w:hAnsi="Times New Roman" w:eastAsia="Times New Roman"/>
          <w:b w:val="0"/>
          <w:i w:val="0"/>
          <w:color w:val="212121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7" w:history="1">
          <w:r>
            <w:rPr>
              <w:rStyle w:val="Hyperlink"/>
            </w:rPr>
            <w:t>College   of   Engineering   fee   waiver   programs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,  or   by  allowing   these   fees   to   be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reimbursed   by  the   department.   Faculty   and   students   should   develop   relationships   with   and   target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recruitment   at   Minority-Serving   Institutions,   as   well   as  </w:t>
      </w:r>
      <w:r>
        <w:rPr>
          <w:u w:val="single" w:color="1154cc"/>
          <w:rFonts w:ascii="Times New Roman" w:hAnsi="Times New Roman" w:eastAsia="Times New Roman"/>
          <w:b w:val="0"/>
          <w:i w:val="0"/>
          <w:color w:val="212121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8" w:history="1">
          <w:r>
            <w:rPr>
              <w:rStyle w:val="Hyperlink"/>
            </w:rPr>
            <w:t>other   proven   strategies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,  to   build   robust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pathways   for   scholars   of   color   at   CLaSP.  The   department   should   recruit   graduate   students   by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sending   faculty   and   students   to   underrepresented   minority   focused   conferences,   such   as   the 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9" w:history="1">
          <w:r>
            <w:rPr>
              <w:rStyle w:val="Hyperlink"/>
            </w:rPr>
            <w:t>National   Technical   Association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4"/>
        </w:rPr>
        <w:t xml:space="preserve"> 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 and  </w:t>
      </w:r>
      <w:r>
        <w:rPr>
          <w:u w:val="single" w:color="1154cc"/>
          <w:rFonts w:ascii="Times New Roman" w:hAnsi="Times New Roman" w:eastAsia="Times New Roman"/>
          <w:b w:val="0"/>
          <w:i w:val="0"/>
          <w:color w:val="212121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20" w:history="1">
          <w:r>
            <w:rPr>
              <w:rStyle w:val="Hyperlink"/>
            </w:rPr>
            <w:t>SACNAS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,  or   by  encouraging   students   and   faculty   to   give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talks   and   hold   recruiting   events   at   diverse   undergraduate   institutions. </w:t>
      </w:r>
    </w:p>
    <w:p>
      <w:pPr>
        <w:autoSpaceDN w:val="0"/>
        <w:autoSpaceDE w:val="0"/>
        <w:widowControl/>
        <w:spacing w:line="245" w:lineRule="auto" w:before="20" w:after="0"/>
        <w:ind w:left="1440" w:right="1440" w:firstLine="720"/>
        <w:jc w:val="left"/>
      </w:pPr>
      <w:r>
        <w:rPr>
          <w:rFonts w:ascii="Times New Roman" w:hAnsi="Times New Roman" w:eastAsia="Times New Roman"/>
          <w:b w:val="0"/>
          <w:i/>
          <w:color w:val="212121"/>
          <w:sz w:val="24"/>
        </w:rPr>
        <w:t xml:space="preserve">Undergraduate   Students.  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Our   ability   to   target   the   University   undergraduate   population   is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nearly   limitless.   Faculty   and   students   should   actively   recruit   women   and   students   of   color   at   all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appropriate   campus   venues.   Partner   with   the  </w:t>
      </w:r>
      <w:r>
        <w:rPr>
          <w:u w:val="single" w:color="1154cc"/>
          <w:rFonts w:ascii="Times New Roman" w:hAnsi="Times New Roman" w:eastAsia="Times New Roman"/>
          <w:b w:val="0"/>
          <w:i w:val="0"/>
          <w:color w:val="212121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21" w:history="1">
          <w:r>
            <w:rPr>
              <w:rStyle w:val="Hyperlink"/>
            </w:rPr>
            <w:t>Undergraduate   Research   Opportunity   Program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4"/>
        </w:rPr>
        <w:t xml:space="preserve"> 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  and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use  </w:t>
      </w:r>
      <w:r>
        <w:rPr>
          <w:u w:val="single" w:color="1154cc"/>
          <w:rFonts w:ascii="Times New Roman" w:hAnsi="Times New Roman" w:eastAsia="Times New Roman"/>
          <w:b w:val="0"/>
          <w:i w:val="0"/>
          <w:color w:val="212121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22" w:history="1">
          <w:r>
            <w:rPr>
              <w:rStyle w:val="Hyperlink"/>
            </w:rPr>
            <w:t>science   based   recruitment   strategies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.  Allocate   funding   to   support  undergraduate   researchers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17292" w:after="0"/>
        <w:ind w:left="1440" w:right="2160" w:firstLine="0"/>
        <w:jc w:val="left"/>
      </w:pP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within   the   department,   as   students   from   underrepresented   backgrounds   are   likely   already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balancing   work   and   classes. </w:t>
      </w:r>
    </w:p>
    <w:p>
      <w:pPr>
        <w:autoSpaceDN w:val="0"/>
        <w:autoSpaceDE w:val="0"/>
        <w:widowControl/>
        <w:spacing w:line="245" w:lineRule="auto" w:before="20" w:after="0"/>
        <w:ind w:left="1440" w:right="1440" w:firstLine="720"/>
        <w:jc w:val="left"/>
      </w:pPr>
      <w:r>
        <w:rPr>
          <w:rFonts w:ascii="Times New Roman" w:hAnsi="Times New Roman" w:eastAsia="Times New Roman"/>
          <w:b w:val="0"/>
          <w:i/>
          <w:color w:val="212121"/>
          <w:sz w:val="24"/>
        </w:rPr>
        <w:t xml:space="preserve">Our   Ann   Arbor   Community.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CLaSP   should   utilize  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23" w:history="1">
          <w:r>
            <w:rPr>
              <w:rStyle w:val="Hyperlink"/>
            </w:rPr>
            <w:t>our   in-house   consulting   resources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4"/>
        </w:rPr>
        <w:t xml:space="preserve"> 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share   our   groundbreaking   research   with   students   of   all   ages.   There   are   lots   of   resources   available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for   public   engagement   methods,  </w:t>
      </w:r>
      <w:r>
        <w:rPr>
          <w:u w:val="single" w:color="1154cc"/>
          <w:rFonts w:ascii="Times New Roman" w:hAnsi="Times New Roman" w:eastAsia="Times New Roman"/>
          <w:b w:val="0"/>
          <w:i w:val="0"/>
          <w:color w:val="212121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24" w:history="1">
          <w:r>
            <w:rPr>
              <w:rStyle w:val="Hyperlink"/>
            </w:rPr>
            <w:t>interactive   teaching   ideas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,  and  </w:t>
      </w:r>
      <w:r>
        <w:rPr>
          <w:u w:val="single" w:color="1154cc"/>
          <w:rFonts w:ascii="Times New Roman" w:hAnsi="Times New Roman" w:eastAsia="Times New Roman"/>
          <w:b w:val="0"/>
          <w:i w:val="0"/>
          <w:color w:val="212121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25" w:history="1">
          <w:r>
            <w:rPr>
              <w:rStyle w:val="Hyperlink"/>
            </w:rPr>
            <w:t>programs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4"/>
        </w:rPr>
        <w:t xml:space="preserve"> 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  that   students   and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postdocs  can   get   involved   in. </w:t>
      </w:r>
    </w:p>
    <w:p>
      <w:pPr>
        <w:autoSpaceDN w:val="0"/>
        <w:autoSpaceDE w:val="0"/>
        <w:widowControl/>
        <w:spacing w:line="245" w:lineRule="auto" w:before="304" w:after="0"/>
        <w:ind w:left="1440" w:right="1584" w:firstLine="0"/>
        <w:jc w:val="left"/>
      </w:pPr>
      <w:r>
        <w:rPr>
          <w:rFonts w:ascii="Times New Roman" w:hAnsi="Times New Roman" w:eastAsia="Times New Roman"/>
          <w:b/>
          <w:i w:val="0"/>
          <w:color w:val="212121"/>
          <w:sz w:val="24"/>
        </w:rPr>
        <w:t xml:space="preserve">Goal   2:   Make   CLaSP   feel   like   home   for   everybody.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 Too  often,   there   are   interactions   (or   lack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thereof)   with   mentors   and   peers   in   which   CLaSPers  are   made   to   feel   like   they   do  not   belong. </w:t>
      </w:r>
    </w:p>
    <w:p>
      <w:pPr>
        <w:autoSpaceDN w:val="0"/>
        <w:autoSpaceDE w:val="0"/>
        <w:widowControl/>
        <w:spacing w:line="245" w:lineRule="auto" w:before="20" w:after="0"/>
        <w:ind w:left="1440" w:right="1584" w:firstLine="0"/>
        <w:jc w:val="left"/>
      </w:pP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This   is   unacceptable,   and   we   must   reaffirm   our   commitment   to   build   a   more   just   and   inclusive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community. </w:t>
      </w:r>
    </w:p>
    <w:p>
      <w:pPr>
        <w:autoSpaceDN w:val="0"/>
        <w:autoSpaceDE w:val="0"/>
        <w:widowControl/>
        <w:spacing w:line="245" w:lineRule="auto" w:before="20" w:after="0"/>
        <w:ind w:left="1440" w:right="1440" w:firstLine="720"/>
        <w:jc w:val="left"/>
      </w:pPr>
      <w:r>
        <w:rPr>
          <w:rFonts w:ascii="Times New Roman" w:hAnsi="Times New Roman" w:eastAsia="Times New Roman"/>
          <w:b w:val="0"/>
          <w:i/>
          <w:color w:val="212121"/>
          <w:sz w:val="24"/>
        </w:rPr>
        <w:t xml:space="preserve">State   our   values. 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 President   Schlissel   made   a   statement   concerning   the   horrific   murders   of 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26" w:history="1">
          <w:r>
            <w:rPr>
              <w:rStyle w:val="Hyperlink"/>
            </w:rPr>
            <w:t>George   Floyd,   Breonna   Taylor,  and   Ahmaud   Arbery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.  Dean   Gallimore  </w:t>
      </w:r>
      <w:r>
        <w:rPr>
          <w:u w:val="single" w:color="1154cc"/>
          <w:rFonts w:ascii="Times New Roman" w:hAnsi="Times New Roman" w:eastAsia="Times New Roman"/>
          <w:b w:val="0"/>
          <w:i w:val="0"/>
          <w:color w:val="212121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27" w:history="1">
          <w:r>
            <w:rPr>
              <w:rStyle w:val="Hyperlink"/>
            </w:rPr>
            <w:t>wrote   a   letter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4"/>
        </w:rPr>
        <w:t xml:space="preserve"> 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  to   the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community   outlining   his   reflections   on  these   atrocities,   our   Nation’s   persistent   and   systemic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racism,   and   a   call   to   action   for   students.   Where   does   CLaSP   stand?   We’d   like   to   hear. </w:t>
      </w:r>
    </w:p>
    <w:p>
      <w:pPr>
        <w:autoSpaceDN w:val="0"/>
        <w:autoSpaceDE w:val="0"/>
        <w:widowControl/>
        <w:spacing w:line="245" w:lineRule="auto" w:before="20" w:after="0"/>
        <w:ind w:left="1440" w:right="1296" w:firstLine="720"/>
        <w:jc w:val="left"/>
      </w:pPr>
      <w:r>
        <w:rPr>
          <w:rFonts w:ascii="Times New Roman" w:hAnsi="Times New Roman" w:eastAsia="Times New Roman"/>
          <w:b w:val="0"/>
          <w:i/>
          <w:color w:val="212121"/>
          <w:sz w:val="24"/>
        </w:rPr>
        <w:t xml:space="preserve">Create   and  empower   ombudspersons. 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 Too  often,   students   and   staff   who   feel   marginalized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have   no  meaningful   recourse.   CLaSP   should   empower   both   student   and   faculty   ombudspersons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to   report,   track,   and   remedy   incidents   of   intolerance   without   fear   of   retaliation.   Remedies   should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be   meaningful,   including   the   power   to   cause   personnel   actions   against   offending   faculty   and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staff.   CLaSP   faculty   should   publicly   advocate   for   changes   in   U-M   dismissal   policies   for   tenured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faculty   that   contribute   to   an   environment   of   discrimination   and   prejudice. </w:t>
      </w:r>
    </w:p>
    <w:p>
      <w:pPr>
        <w:autoSpaceDN w:val="0"/>
        <w:autoSpaceDE w:val="0"/>
        <w:widowControl/>
        <w:spacing w:line="245" w:lineRule="auto" w:before="20" w:after="0"/>
        <w:ind w:left="1440" w:right="1296" w:firstLine="720"/>
        <w:jc w:val="left"/>
      </w:pPr>
      <w:r>
        <w:rPr>
          <w:rFonts w:ascii="Times New Roman" w:hAnsi="Times New Roman" w:eastAsia="Times New Roman"/>
          <w:b w:val="0"/>
          <w:i/>
          <w:color w:val="212121"/>
          <w:sz w:val="24"/>
        </w:rPr>
        <w:t xml:space="preserve">Ensure   rising   scholars   of   color   are   afforded   opportunities   to   shine. 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 Scholars   of   color   have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made   worthy   contributions   to   our   fields   both   inside   and   outside   the   department,   and   more   of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them   should   be   recognized   with   department   accolades   and   funding.   Department   seminars   should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feature   faculty   of   color.  Postdoc   and   REU  opportunities   should   actively   recruit   scholars   of   color.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Nomination   pools   for   department   awards   must   be   diversified. </w:t>
      </w:r>
    </w:p>
    <w:p>
      <w:pPr>
        <w:autoSpaceDN w:val="0"/>
        <w:autoSpaceDE w:val="0"/>
        <w:widowControl/>
        <w:spacing w:line="247" w:lineRule="auto" w:before="304" w:after="0"/>
        <w:ind w:left="1440" w:right="1296" w:firstLine="0"/>
        <w:jc w:val="left"/>
      </w:pPr>
      <w:r>
        <w:rPr>
          <w:rFonts w:ascii="Times New Roman" w:hAnsi="Times New Roman" w:eastAsia="Times New Roman"/>
          <w:b/>
          <w:i w:val="0"/>
          <w:color w:val="212121"/>
          <w:sz w:val="24"/>
        </w:rPr>
        <w:t xml:space="preserve">Goal   3:   Join   us   in   a  commitment   to   accountability   and   results. 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  We’re   eager   to   evaluate   the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data   and   see   which   activities   are   moving   the   needle.   All   of   us   have   a   stake   in   building   a   more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welcoming   and   representative   CLaSP,  and   we   want   to   be   able   to   have   candid   conversations   when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we   fall   short  of   our   goals.   But   for   that   to   happen,   the   CLaSP   community   needs   to   both   publicly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set   goals   and   agree   upon  performance   metrics   </w:t>
      </w:r>
      <w:r>
        <w:rPr>
          <w:rFonts w:ascii="Times New Roman" w:hAnsi="Times New Roman" w:eastAsia="Times New Roman"/>
          <w:b w:val="0"/>
          <w:i/>
          <w:color w:val="212121"/>
          <w:sz w:val="24"/>
        </w:rPr>
        <w:t xml:space="preserve">as   the   future   of   our   department   and  the   field   as   a </w:t>
      </w:r>
      <w:r>
        <w:rPr>
          <w:rFonts w:ascii="Times New Roman" w:hAnsi="Times New Roman" w:eastAsia="Times New Roman"/>
          <w:b w:val="0"/>
          <w:i/>
          <w:color w:val="212121"/>
          <w:sz w:val="24"/>
        </w:rPr>
        <w:t xml:space="preserve">whole   depends   on  it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.  The   CLaSP   Diversity   Allies   should   hold   monthly   meetings   where   anyone   in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the   department   can   discuss   what   DEI   efforts   we   are   working   on  and   the   progress   we’ve   made.   If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we   aren’t   able   to   build   a   more   diverse   and   representative   cadre   of   leaders   in   geosciences,   then   we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will   have   failed   the   field,   the   Michigan   community,  and   each   other.  We,   the   undersigned   as   well 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as   the   CLaSP   community,  look   forward   to   engaging   directly   and   transparently   with   the </w:t>
      </w:r>
      <w:r>
        <w:br/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Department   in   this   ongoing   process. </w:t>
      </w:r>
    </w:p>
    <w:p>
      <w:pPr>
        <w:autoSpaceDN w:val="0"/>
        <w:autoSpaceDE w:val="0"/>
        <w:widowControl/>
        <w:spacing w:line="230" w:lineRule="auto" w:before="304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Signed: 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ature.com/articles/s41561-018-0116-6" TargetMode="External"/><Relationship Id="rId10" Type="http://schemas.openxmlformats.org/officeDocument/2006/relationships/hyperlink" Target="https://clasp.engin.umich.edu/academics/graduate-studies/great-workshop/" TargetMode="External"/><Relationship Id="rId11" Type="http://schemas.openxmlformats.org/officeDocument/2006/relationships/hyperlink" Target="https://clasp.engin.umich.edu/diversity-statement/" TargetMode="External"/><Relationship Id="rId12" Type="http://schemas.openxmlformats.org/officeDocument/2006/relationships/hyperlink" Target="https://clasp.engin.umich.edu/wp-content/uploads/sites/10/2019/03/CLaSP-Faculty-Committees-2019-2020.pdf" TargetMode="External"/><Relationship Id="rId13" Type="http://schemas.openxmlformats.org/officeDocument/2006/relationships/hyperlink" Target="https://news.engin.umich.edu/2019/10/faculty-position-in-planetary-science/" TargetMode="External"/><Relationship Id="rId14" Type="http://schemas.openxmlformats.org/officeDocument/2006/relationships/hyperlink" Target="https://advances.sciencemag.org/content/1/1/e1400005?hc_location=ufi" TargetMode="External"/><Relationship Id="rId15" Type="http://schemas.openxmlformats.org/officeDocument/2006/relationships/hyperlink" Target="https://clasp.engin.umich.edu/academics/graduate-studies/graduate-admissions/" TargetMode="External"/><Relationship Id="rId16" Type="http://schemas.openxmlformats.org/officeDocument/2006/relationships/hyperlink" Target="https://doi-org.proxy.lib.umich.edu/10.1086/676910" TargetMode="External"/><Relationship Id="rId17" Type="http://schemas.openxmlformats.org/officeDocument/2006/relationships/hyperlink" Target="https://rackham.umich.edu/admissions/applying/application-fee-and-waivers/" TargetMode="External"/><Relationship Id="rId18" Type="http://schemas.openxmlformats.org/officeDocument/2006/relationships/hyperlink" Target="https://www.healthynh.com/images/COMPILED_Diverse_Student_STRATEGIES_FINAL_Feb2013.pdf" TargetMode="External"/><Relationship Id="rId19" Type="http://schemas.openxmlformats.org/officeDocument/2006/relationships/hyperlink" Target="https://ntaonline.org/" TargetMode="External"/><Relationship Id="rId20" Type="http://schemas.openxmlformats.org/officeDocument/2006/relationships/hyperlink" Target="https://www.sacnas.org/" TargetMode="External"/><Relationship Id="rId21" Type="http://schemas.openxmlformats.org/officeDocument/2006/relationships/hyperlink" Target="https://lsa.umich.edu/urop/current-urop-students.html" TargetMode="External"/><Relationship Id="rId22" Type="http://schemas.openxmlformats.org/officeDocument/2006/relationships/hyperlink" Target="https://www.frontiersin.org/articles/10.3389/fpsyg.2019.01305/full" TargetMode="External"/><Relationship Id="rId23" Type="http://schemas.openxmlformats.org/officeDocument/2006/relationships/hyperlink" Target="https://ceo.umich.edu/consulting/" TargetMode="External"/><Relationship Id="rId24" Type="http://schemas.openxmlformats.org/officeDocument/2006/relationships/hyperlink" Target="https://diynamics.github.io/pages/people.html" TargetMode="External"/><Relationship Id="rId25" Type="http://schemas.openxmlformats.org/officeDocument/2006/relationships/hyperlink" Target="https://lsa.umich.edu/ummnh/u-m-community/u-m-faculty/science-communication-fellows.html" TargetMode="External"/><Relationship Id="rId26" Type="http://schemas.openxmlformats.org/officeDocument/2006/relationships/hyperlink" Target="https://president.umich.edu/news-communications/letters-to-the-community/the-appalling-pestilence-of-racism/" TargetMode="External"/><Relationship Id="rId27" Type="http://schemas.openxmlformats.org/officeDocument/2006/relationships/hyperlink" Target="https://news.engin.umich.edu/2020/06/perspective-now-is-the-moment-so-what-do-we-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