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E9" w:rsidRPr="005334DB" w:rsidRDefault="009960E9" w:rsidP="00C10B4F">
      <w:pPr>
        <w:jc w:val="left"/>
        <w:rPr>
          <w:lang w:val="pl-PL"/>
        </w:rPr>
      </w:pPr>
      <w:r w:rsidRPr="005334DB">
        <w:rPr>
          <w:lang w:val="pl-PL"/>
        </w:rPr>
        <w:t>Marcin Mikołajczak (75922)</w:t>
      </w:r>
      <w:r w:rsidRPr="005334DB">
        <w:rPr>
          <w:lang w:val="pl-PL"/>
        </w:rPr>
        <w:br/>
        <w:t>Daria Ogrodowska  (75932)</w:t>
      </w:r>
    </w:p>
    <w:p w:rsidR="005334DB" w:rsidRPr="00701C6A" w:rsidRDefault="005334DB" w:rsidP="005334DB">
      <w:pPr>
        <w:pStyle w:val="Tytu"/>
        <w:rPr>
          <w:lang w:val="pl-PL"/>
        </w:rPr>
      </w:pPr>
      <w:r w:rsidRPr="00701C6A">
        <w:rPr>
          <w:lang w:val="pl-PL"/>
        </w:rPr>
        <w:t>Komunikacja człowiek-komputer</w:t>
      </w:r>
    </w:p>
    <w:p w:rsidR="005334DB" w:rsidRPr="00701C6A" w:rsidRDefault="009B049A" w:rsidP="005334DB">
      <w:pPr>
        <w:pStyle w:val="Tytu"/>
        <w:rPr>
          <w:lang w:val="pl-PL"/>
        </w:rPr>
      </w:pPr>
      <w:r>
        <w:rPr>
          <w:lang w:val="pl-PL"/>
        </w:rPr>
        <w:t>Sprawozdanie 4</w:t>
      </w:r>
      <w:r w:rsidR="009960E9">
        <w:rPr>
          <w:lang w:val="pl-PL"/>
        </w:rPr>
        <w:t xml:space="preserve"> – M</w:t>
      </w:r>
      <w:r w:rsidR="001B5A3A">
        <w:rPr>
          <w:lang w:val="pl-PL"/>
        </w:rPr>
        <w:t>owa</w:t>
      </w:r>
    </w:p>
    <w:p w:rsidR="0005322B" w:rsidRPr="009960E9" w:rsidRDefault="00F4541F" w:rsidP="005334DB">
      <w:pPr>
        <w:pStyle w:val="Nagwek1"/>
        <w:rPr>
          <w:lang w:val="pl-PL"/>
        </w:rPr>
      </w:pPr>
      <w:r w:rsidRPr="005334DB">
        <w:rPr>
          <w:lang w:val="pl-PL"/>
        </w:rPr>
        <w:t xml:space="preserve"> </w:t>
      </w:r>
      <w:r w:rsidRPr="009960E9">
        <w:rPr>
          <w:lang w:val="pl-PL"/>
        </w:rPr>
        <w:t xml:space="preserve">Rysowanie spektrogramu </w:t>
      </w:r>
      <w:proofErr w:type="spellStart"/>
      <w:r w:rsidRPr="009960E9">
        <w:rPr>
          <w:lang w:val="pl-PL"/>
        </w:rPr>
        <w:t>offline</w:t>
      </w:r>
      <w:proofErr w:type="spellEnd"/>
    </w:p>
    <w:p w:rsidR="0005322B" w:rsidRDefault="009960E9" w:rsidP="009960E9">
      <w:pPr>
        <w:spacing w:before="120" w:after="0"/>
        <w:jc w:val="center"/>
        <w:rPr>
          <w:rFonts w:ascii="Verdana" w:hAnsi="Verdana" w:cs="Arial"/>
          <w:sz w:val="20"/>
        </w:rPr>
      </w:pPr>
      <w:r>
        <w:rPr>
          <w:rFonts w:ascii="Verdana" w:hAnsi="Verdana" w:cs="Arial"/>
          <w:noProof/>
          <w:sz w:val="20"/>
          <w:lang w:val="pl-PL" w:eastAsia="pl-PL" w:bidi="ar-SA"/>
        </w:rPr>
        <w:drawing>
          <wp:inline distT="0" distB="0" distL="0" distR="0">
            <wp:extent cx="4953000" cy="3609975"/>
            <wp:effectExtent l="0" t="19050" r="76200" b="66675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22B" w:rsidRDefault="00F4541F" w:rsidP="005334DB">
      <w:pPr>
        <w:pStyle w:val="Nagwek1"/>
      </w:pPr>
      <w:r>
        <w:t xml:space="preserve"> </w:t>
      </w:r>
      <w:proofErr w:type="spellStart"/>
      <w:r>
        <w:t>Rysowanie</w:t>
      </w:r>
      <w:proofErr w:type="spellEnd"/>
      <w:r>
        <w:t xml:space="preserve"> </w:t>
      </w:r>
      <w:proofErr w:type="spellStart"/>
      <w:r>
        <w:t>spektrogramu</w:t>
      </w:r>
      <w:proofErr w:type="spellEnd"/>
      <w:r>
        <w:t xml:space="preserve">  online</w:t>
      </w:r>
    </w:p>
    <w:p w:rsidR="0005322B" w:rsidRDefault="002A5AAF" w:rsidP="009960E9">
      <w:pPr>
        <w:tabs>
          <w:tab w:val="num" w:pos="180"/>
        </w:tabs>
        <w:spacing w:before="120" w:after="0"/>
        <w:jc w:val="center"/>
        <w:rPr>
          <w:rFonts w:ascii="Verdana" w:hAnsi="Verdana" w:cs="Arial"/>
          <w:sz w:val="20"/>
        </w:rPr>
      </w:pPr>
      <w:r>
        <w:rPr>
          <w:rFonts w:ascii="Verdana" w:hAnsi="Verdana" w:cs="Arial"/>
          <w:noProof/>
          <w:sz w:val="20"/>
          <w:lang w:val="pl-PL" w:eastAsia="pl-PL" w:bidi="ar-SA"/>
        </w:rPr>
        <w:drawing>
          <wp:inline distT="0" distB="0" distL="0" distR="0">
            <wp:extent cx="4953000" cy="2152650"/>
            <wp:effectExtent l="0" t="19050" r="76200" b="571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22B" w:rsidRDefault="00663C66" w:rsidP="005334DB">
      <w:pPr>
        <w:pStyle w:val="Nagwek1"/>
        <w:rPr>
          <w:lang w:val="pl-PL"/>
        </w:rPr>
      </w:pPr>
      <w:r>
        <w:rPr>
          <w:lang w:val="pl-PL"/>
        </w:rPr>
        <w:lastRenderedPageBreak/>
        <w:t>Rozpoznawanie płci</w:t>
      </w:r>
    </w:p>
    <w:p w:rsidR="0005322B" w:rsidRDefault="005334DB" w:rsidP="005334DB">
      <w:pPr>
        <w:pStyle w:val="Nagwek2"/>
        <w:rPr>
          <w:lang w:val="pl-PL"/>
        </w:rPr>
      </w:pPr>
      <w:r w:rsidRPr="001B5A3A">
        <w:rPr>
          <w:lang w:val="pl-PL"/>
        </w:rPr>
        <w:t>Doświadczenie</w:t>
      </w:r>
    </w:p>
    <w:p w:rsidR="00663C66" w:rsidRDefault="00143128" w:rsidP="00143128">
      <w:pPr>
        <w:rPr>
          <w:lang w:val="pl-PL"/>
        </w:rPr>
      </w:pPr>
      <w:r>
        <w:rPr>
          <w:lang w:val="pl-PL"/>
        </w:rPr>
        <w:t>Doświadczenie</w:t>
      </w:r>
      <w:r w:rsidR="00663C66">
        <w:rPr>
          <w:lang w:val="pl-PL"/>
        </w:rPr>
        <w:t xml:space="preserve"> polegało na stworzeniu programu, który na podstawie analizy widma próbki głosu rozpoznawałby płeć osoby mówiącej i z</w:t>
      </w:r>
      <w:r>
        <w:rPr>
          <w:lang w:val="pl-PL"/>
        </w:rPr>
        <w:t>badaniu jak opracowany program zachowa się na próbie kilku różnych osób.</w:t>
      </w:r>
    </w:p>
    <w:p w:rsidR="00143128" w:rsidRPr="001B5A3A" w:rsidRDefault="00BD0A41" w:rsidP="00143128">
      <w:pPr>
        <w:rPr>
          <w:lang w:val="pl-PL"/>
        </w:rPr>
      </w:pPr>
      <w:r>
        <w:rPr>
          <w:lang w:val="pl-PL"/>
        </w:rPr>
        <w:t xml:space="preserve">Kluczem do  udzielenia odpowiedzi na pytanie o płeć nagranej osoby było znalezienie tzw. częstotliwości krtaniowej. Teoria mówi, że jest ona niższa u mężczyzn (ok.  125 Hz) i wyższa u kobiet (ok. 300 Hz). W </w:t>
      </w:r>
      <w:r w:rsidR="002668C0">
        <w:rPr>
          <w:lang w:val="pl-PL"/>
        </w:rPr>
        <w:t xml:space="preserve">celu znalezienia wartości dla danej próbki </w:t>
      </w:r>
      <w:r>
        <w:rPr>
          <w:lang w:val="pl-PL"/>
        </w:rPr>
        <w:t xml:space="preserve">wykorzystano autokorelację </w:t>
      </w:r>
      <w:r w:rsidR="002668C0">
        <w:rPr>
          <w:lang w:val="pl-PL"/>
        </w:rPr>
        <w:t>badanego sygnału, co pozwoliło zminimalizować wpływ szumów i zakłóceń obecnych w nagraniu. Metoda polega na znalezieniu takiego przesunięcia sygnału względem oryginału, które daje największą wartość korelacji. Przesunięcie to jest okresem odpowiadającym poszukiwanej częstotliwości.</w:t>
      </w:r>
    </w:p>
    <w:p w:rsidR="0005322B" w:rsidRPr="001B5A3A" w:rsidRDefault="002668C0" w:rsidP="00143128">
      <w:pPr>
        <w:rPr>
          <w:lang w:val="pl-PL"/>
        </w:rPr>
      </w:pPr>
      <w:r>
        <w:rPr>
          <w:lang w:val="pl-PL"/>
        </w:rPr>
        <w:t>W celu sprawdzenia skuteczności przedstawionej metody z</w:t>
      </w:r>
      <w:r w:rsidR="00143128">
        <w:rPr>
          <w:lang w:val="pl-PL"/>
        </w:rPr>
        <w:t>ostały n</w:t>
      </w:r>
      <w:r w:rsidR="00F4541F" w:rsidRPr="001B5A3A">
        <w:rPr>
          <w:lang w:val="pl-PL"/>
        </w:rPr>
        <w:t>agra</w:t>
      </w:r>
      <w:r w:rsidR="00143128">
        <w:rPr>
          <w:lang w:val="pl-PL"/>
        </w:rPr>
        <w:t>ne</w:t>
      </w:r>
      <w:r w:rsidR="00F4541F" w:rsidRPr="001B5A3A">
        <w:rPr>
          <w:lang w:val="pl-PL"/>
        </w:rPr>
        <w:t xml:space="preserve"> próbki głosu </w:t>
      </w:r>
      <w:r w:rsidR="00AB6C33">
        <w:rPr>
          <w:lang w:val="pl-PL"/>
        </w:rPr>
        <w:t>5 mężczyzn i 5 </w:t>
      </w:r>
      <w:r w:rsidR="00F4541F" w:rsidRPr="001B5A3A">
        <w:rPr>
          <w:lang w:val="pl-PL"/>
        </w:rPr>
        <w:t>kobiet. Aby uniezależ</w:t>
      </w:r>
      <w:r>
        <w:rPr>
          <w:lang w:val="pl-PL"/>
        </w:rPr>
        <w:t>nić wynik doświadczenia od wygła</w:t>
      </w:r>
      <w:r w:rsidR="00F4541F" w:rsidRPr="001B5A3A">
        <w:rPr>
          <w:lang w:val="pl-PL"/>
        </w:rPr>
        <w:t>sz</w:t>
      </w:r>
      <w:r w:rsidR="00143128">
        <w:rPr>
          <w:lang w:val="pl-PL"/>
        </w:rPr>
        <w:t>a</w:t>
      </w:r>
      <w:r w:rsidR="00F4541F" w:rsidRPr="001B5A3A">
        <w:rPr>
          <w:lang w:val="pl-PL"/>
        </w:rPr>
        <w:t xml:space="preserve">nej kwestii, badane osoby </w:t>
      </w:r>
      <w:r w:rsidR="00AB6C33">
        <w:rPr>
          <w:lang w:val="pl-PL"/>
        </w:rPr>
        <w:t>otrzymały do </w:t>
      </w:r>
      <w:r w:rsidR="00F4541F" w:rsidRPr="001B5A3A">
        <w:rPr>
          <w:lang w:val="pl-PL"/>
        </w:rPr>
        <w:t>przeczytania na głos fragment koncertu Jankiela z „Pana Tadeusza”:</w:t>
      </w:r>
    </w:p>
    <w:p w:rsidR="00143128" w:rsidRPr="00C10B4F" w:rsidRDefault="00F4541F" w:rsidP="00AB6C33">
      <w:pPr>
        <w:pStyle w:val="Cytatintensywny"/>
        <w:jc w:val="left"/>
        <w:rPr>
          <w:lang w:val="pl-PL"/>
        </w:rPr>
      </w:pPr>
      <w:r w:rsidRPr="00C10B4F">
        <w:rPr>
          <w:lang w:val="pl-PL"/>
        </w:rPr>
        <w:t>„Było cymbalistów wielu,</w:t>
      </w:r>
      <w:r w:rsidR="005334DB" w:rsidRPr="00C10B4F">
        <w:rPr>
          <w:lang w:val="pl-PL"/>
        </w:rPr>
        <w:br/>
        <w:t>A</w:t>
      </w:r>
      <w:r w:rsidRPr="00C10B4F">
        <w:rPr>
          <w:lang w:val="pl-PL"/>
        </w:rPr>
        <w:t>le żaden z nic</w:t>
      </w:r>
      <w:r w:rsidR="005334DB" w:rsidRPr="00C10B4F">
        <w:rPr>
          <w:lang w:val="pl-PL"/>
        </w:rPr>
        <w:t>h nie śmiał zagrać przy Jankielu</w:t>
      </w:r>
      <w:r w:rsidR="005334DB" w:rsidRPr="00C10B4F">
        <w:rPr>
          <w:lang w:val="pl-PL"/>
        </w:rPr>
        <w:br/>
      </w:r>
      <w:r w:rsidRPr="00C10B4F">
        <w:rPr>
          <w:lang w:val="pl-PL"/>
        </w:rPr>
        <w:t>(Jankiel całą zimę nie wiedzieć gdzie bawił,</w:t>
      </w:r>
      <w:r w:rsidR="005334DB" w:rsidRPr="00C10B4F">
        <w:rPr>
          <w:lang w:val="pl-PL"/>
        </w:rPr>
        <w:br/>
      </w:r>
      <w:r w:rsidRPr="00C10B4F">
        <w:rPr>
          <w:lang w:val="pl-PL"/>
        </w:rPr>
        <w:t>Teraz się nagle z całym sztabem wojska zjawił)”</w:t>
      </w:r>
    </w:p>
    <w:p w:rsidR="002668C0" w:rsidRDefault="002668C0" w:rsidP="002668C0">
      <w:pPr>
        <w:pStyle w:val="Nagwek2"/>
        <w:rPr>
          <w:lang w:val="pl-PL"/>
        </w:rPr>
      </w:pPr>
      <w:r>
        <w:rPr>
          <w:lang w:val="pl-PL"/>
        </w:rPr>
        <w:t>Wyniki</w:t>
      </w:r>
    </w:p>
    <w:p w:rsidR="0005322B" w:rsidRPr="0034003D" w:rsidRDefault="00143128" w:rsidP="00143128">
      <w:pPr>
        <w:rPr>
          <w:lang w:val="pl-PL"/>
        </w:rPr>
      </w:pPr>
      <w:r>
        <w:rPr>
          <w:lang w:val="pl-PL"/>
        </w:rPr>
        <w:t>D</w:t>
      </w:r>
      <w:r w:rsidR="00F4541F" w:rsidRPr="005334DB">
        <w:rPr>
          <w:lang w:val="pl-PL"/>
        </w:rPr>
        <w:t xml:space="preserve">oświadczenie wykazało, że średnia częstotliwość głosu mężczyzny wynosi 121,1 Hz, </w:t>
      </w:r>
      <w:r w:rsidR="002668C0">
        <w:rPr>
          <w:lang w:val="pl-PL"/>
        </w:rPr>
        <w:t>a kobiety 209,3 </w:t>
      </w:r>
      <w:r w:rsidR="00F4541F" w:rsidRPr="005334DB">
        <w:rPr>
          <w:lang w:val="pl-PL"/>
        </w:rPr>
        <w:t xml:space="preserve">Hz. </w:t>
      </w:r>
      <w:r w:rsidR="00F4541F" w:rsidRPr="0034003D">
        <w:rPr>
          <w:lang w:val="pl-PL"/>
        </w:rPr>
        <w:t>Wyni</w:t>
      </w:r>
      <w:r w:rsidR="0034003D" w:rsidRPr="0034003D">
        <w:rPr>
          <w:lang w:val="pl-PL"/>
        </w:rPr>
        <w:t>ki</w:t>
      </w:r>
      <w:r w:rsidR="00F4541F" w:rsidRPr="0034003D">
        <w:rPr>
          <w:lang w:val="pl-PL"/>
        </w:rPr>
        <w:t xml:space="preserve"> przeprowadzonego doświadczenia zaprezentowane są w </w:t>
      </w:r>
      <w:r w:rsidR="002668C0">
        <w:rPr>
          <w:lang w:val="pl-PL"/>
        </w:rPr>
        <w:t xml:space="preserve">poniższej </w:t>
      </w:r>
      <w:r w:rsidR="00F4541F" w:rsidRPr="0034003D">
        <w:rPr>
          <w:lang w:val="pl-PL"/>
        </w:rPr>
        <w:t>tabel</w:t>
      </w:r>
      <w:r w:rsidR="002668C0">
        <w:rPr>
          <w:lang w:val="pl-PL"/>
        </w:rPr>
        <w:t>i</w:t>
      </w:r>
      <w:r w:rsidR="00AB6C33">
        <w:rPr>
          <w:lang w:val="pl-PL"/>
        </w:rPr>
        <w:t xml:space="preserve"> oraz na </w:t>
      </w:r>
      <w:r w:rsidR="00F4541F" w:rsidRPr="0034003D">
        <w:rPr>
          <w:lang w:val="pl-PL"/>
        </w:rPr>
        <w:t>wykresie.</w:t>
      </w:r>
    </w:p>
    <w:tbl>
      <w:tblPr>
        <w:tblW w:w="2759" w:type="dxa"/>
        <w:jc w:val="center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806"/>
        <w:gridCol w:w="1135"/>
        <w:gridCol w:w="818"/>
      </w:tblGrid>
      <w:tr w:rsidR="003253B2" w:rsidTr="004442B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</w:pPr>
            <w:bookmarkStart w:id="0" w:name="_Hlk188887086"/>
            <w:proofErr w:type="spellStart"/>
            <w:r w:rsidRPr="006967CE">
              <w:t>Próbka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</w:tcPr>
          <w:p w:rsidR="003253B2" w:rsidRPr="006967CE" w:rsidRDefault="003253B2" w:rsidP="003253B2">
            <w:pPr>
              <w:spacing w:after="0"/>
            </w:pPr>
            <w:proofErr w:type="spellStart"/>
            <w:r w:rsidRPr="006967CE">
              <w:t>Mężczyzna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</w:pPr>
            <w:proofErr w:type="spellStart"/>
            <w:r w:rsidRPr="006967CE">
              <w:t>Kobieta</w:t>
            </w:r>
            <w:proofErr w:type="spellEnd"/>
          </w:p>
        </w:tc>
      </w:tr>
      <w:tr w:rsidR="003253B2" w:rsidTr="004442B1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117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249</w:t>
            </w:r>
          </w:p>
        </w:tc>
      </w:tr>
      <w:tr w:rsidR="003253B2" w:rsidTr="004442B1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98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192</w:t>
            </w:r>
          </w:p>
        </w:tc>
      </w:tr>
      <w:tr w:rsidR="003253B2" w:rsidTr="004442B1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109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227</w:t>
            </w:r>
          </w:p>
        </w:tc>
      </w:tr>
      <w:tr w:rsidR="003253B2" w:rsidTr="004442B1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133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218</w:t>
            </w:r>
          </w:p>
        </w:tc>
      </w:tr>
      <w:tr w:rsidR="003253B2" w:rsidTr="004442B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127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201</w:t>
            </w:r>
          </w:p>
        </w:tc>
      </w:tr>
      <w:bookmarkEnd w:id="0"/>
      <w:tr w:rsidR="003253B2" w:rsidTr="004442B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3253B2" w:rsidRPr="006967CE" w:rsidRDefault="003253B2" w:rsidP="003253B2">
            <w:pPr>
              <w:spacing w:after="0"/>
            </w:pPr>
            <w:proofErr w:type="spellStart"/>
            <w:r w:rsidRPr="006967CE">
              <w:t>Średnia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</w:tcPr>
          <w:p w:rsidR="003253B2" w:rsidRPr="006967CE" w:rsidRDefault="003253B2" w:rsidP="003253B2">
            <w:pPr>
              <w:spacing w:after="0"/>
              <w:jc w:val="right"/>
            </w:pPr>
            <w:r w:rsidRPr="006967CE">
              <w:t>116,8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3253B2" w:rsidRDefault="003253B2" w:rsidP="003253B2">
            <w:pPr>
              <w:spacing w:after="0"/>
              <w:jc w:val="right"/>
            </w:pPr>
            <w:r w:rsidRPr="006967CE">
              <w:t>217,4</w:t>
            </w:r>
          </w:p>
        </w:tc>
      </w:tr>
    </w:tbl>
    <w:p w:rsidR="0005322B" w:rsidRPr="00C330C1" w:rsidRDefault="0005322B">
      <w:pPr>
        <w:tabs>
          <w:tab w:val="num" w:pos="180"/>
        </w:tabs>
        <w:rPr>
          <w:rFonts w:ascii="Verdana" w:hAnsi="Verdana" w:cs="Arial"/>
          <w:sz w:val="20"/>
          <w:lang w:val="pl-PL"/>
        </w:rPr>
      </w:pPr>
    </w:p>
    <w:p w:rsidR="0005322B" w:rsidRDefault="003253B2">
      <w:pPr>
        <w:tabs>
          <w:tab w:val="num" w:pos="180"/>
        </w:tabs>
        <w:jc w:val="center"/>
        <w:rPr>
          <w:rFonts w:ascii="Verdana" w:hAnsi="Verdana" w:cs="Arial"/>
          <w:sz w:val="20"/>
        </w:rPr>
      </w:pPr>
      <w:r w:rsidRPr="003253B2">
        <w:rPr>
          <w:rFonts w:ascii="Verdana" w:hAnsi="Verdana" w:cs="Arial"/>
          <w:noProof/>
          <w:sz w:val="20"/>
          <w:lang w:val="pl-PL" w:eastAsia="pl-PL" w:bidi="ar-SA"/>
        </w:rPr>
        <w:lastRenderedPageBreak/>
        <w:drawing>
          <wp:inline distT="0" distB="0" distL="0" distR="0">
            <wp:extent cx="4953600" cy="2743200"/>
            <wp:effectExtent l="0" t="19050" r="75600" b="5715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003D" w:rsidRDefault="0034003D" w:rsidP="009960E9">
      <w:pPr>
        <w:pStyle w:val="Tekstpodstawowy"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953000" cy="2152650"/>
            <wp:effectExtent l="0" t="19050" r="76200" b="57150"/>
            <wp:docPr id="3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0C1" w:rsidRDefault="00C330C1" w:rsidP="00C330C1">
      <w:pPr>
        <w:pStyle w:val="Nagwek2"/>
        <w:rPr>
          <w:lang w:val="pl-PL"/>
        </w:rPr>
      </w:pPr>
      <w:r>
        <w:rPr>
          <w:lang w:val="pl-PL"/>
        </w:rPr>
        <w:t>Wnioski</w:t>
      </w:r>
    </w:p>
    <w:p w:rsidR="00C330C1" w:rsidRDefault="00C330C1" w:rsidP="00C330C1">
      <w:pPr>
        <w:rPr>
          <w:rFonts w:ascii="Verdana" w:hAnsi="Verdana" w:cs="Arial"/>
          <w:sz w:val="20"/>
          <w:lang w:val="pl-PL"/>
        </w:rPr>
      </w:pPr>
      <w:r>
        <w:rPr>
          <w:lang w:val="pl-PL"/>
        </w:rPr>
        <w:t xml:space="preserve">Wyniki doświadczenia pokazują, że wykorzystana metoda dobrze sprawdza się w typowych warunkach. Problemy mogą wystąpić w </w:t>
      </w:r>
      <w:r w:rsidRPr="0034003D">
        <w:rPr>
          <w:rFonts w:ascii="Verdana" w:hAnsi="Verdana" w:cs="Arial"/>
          <w:sz w:val="20"/>
          <w:lang w:val="pl-PL"/>
        </w:rPr>
        <w:t>przypadku mężczyzn celowo naśladujących głos kobiety i analogicznie kobiet naśladujących męski sposób mówienia.</w:t>
      </w:r>
    </w:p>
    <w:p w:rsidR="0005322B" w:rsidRDefault="00F4541F" w:rsidP="001B5A3A">
      <w:pPr>
        <w:pStyle w:val="Nagwek1"/>
        <w:rPr>
          <w:lang w:val="pl-PL"/>
        </w:rPr>
      </w:pPr>
      <w:r w:rsidRPr="00701CAD">
        <w:rPr>
          <w:lang w:val="pl-PL"/>
        </w:rPr>
        <w:t>Rozpoznawanie samogłosek</w:t>
      </w:r>
    </w:p>
    <w:p w:rsidR="00FB0C3D" w:rsidRPr="00FB0C3D" w:rsidRDefault="00663C66" w:rsidP="00FB0C3D">
      <w:pPr>
        <w:pStyle w:val="Nagwek2"/>
        <w:rPr>
          <w:lang w:val="pl-PL"/>
        </w:rPr>
      </w:pPr>
      <w:r>
        <w:rPr>
          <w:lang w:val="pl-PL"/>
        </w:rPr>
        <w:t>Doświadczenie</w:t>
      </w:r>
    </w:p>
    <w:p w:rsidR="00F4541F" w:rsidRDefault="00663C66">
      <w:pPr>
        <w:rPr>
          <w:rFonts w:ascii="Verdana" w:hAnsi="Verdana" w:cs="Arial"/>
          <w:sz w:val="20"/>
          <w:lang w:val="pl-PL"/>
        </w:rPr>
      </w:pPr>
      <w:r>
        <w:rPr>
          <w:rFonts w:ascii="Verdana" w:hAnsi="Verdana" w:cs="Arial"/>
          <w:sz w:val="20"/>
          <w:lang w:val="pl-PL"/>
        </w:rPr>
        <w:t>Doświadczenie polegało na</w:t>
      </w:r>
      <w:r w:rsidR="00701CAD" w:rsidRPr="00701CAD">
        <w:rPr>
          <w:rFonts w:ascii="Verdana" w:hAnsi="Verdana" w:cs="Arial"/>
          <w:sz w:val="20"/>
          <w:lang w:val="pl-PL"/>
        </w:rPr>
        <w:t xml:space="preserve"> </w:t>
      </w:r>
      <w:proofErr w:type="spellStart"/>
      <w:r w:rsidR="00701CAD" w:rsidRPr="00701CAD">
        <w:rPr>
          <w:rFonts w:ascii="Verdana" w:hAnsi="Verdana" w:cs="Arial"/>
          <w:sz w:val="20"/>
          <w:lang w:val="pl-PL"/>
        </w:rPr>
        <w:t>zwizualizowa</w:t>
      </w:r>
      <w:r w:rsidR="00701CAD">
        <w:rPr>
          <w:rFonts w:ascii="Verdana" w:hAnsi="Verdana" w:cs="Arial"/>
          <w:sz w:val="20"/>
          <w:lang w:val="pl-PL"/>
        </w:rPr>
        <w:t>ni</w:t>
      </w:r>
      <w:r>
        <w:rPr>
          <w:rFonts w:ascii="Verdana" w:hAnsi="Verdana" w:cs="Arial"/>
          <w:sz w:val="20"/>
          <w:lang w:val="pl-PL"/>
        </w:rPr>
        <w:t>u</w:t>
      </w:r>
      <w:proofErr w:type="spellEnd"/>
      <w:r w:rsidR="00701CAD">
        <w:rPr>
          <w:rFonts w:ascii="Verdana" w:hAnsi="Verdana" w:cs="Arial"/>
          <w:sz w:val="20"/>
          <w:lang w:val="pl-PL"/>
        </w:rPr>
        <w:t xml:space="preserve"> samogłosek języka polskiego </w:t>
      </w:r>
      <w:r w:rsidR="006764A1">
        <w:rPr>
          <w:rFonts w:ascii="Verdana" w:hAnsi="Verdana" w:cs="Arial"/>
          <w:sz w:val="20"/>
          <w:lang w:val="pl-PL"/>
        </w:rPr>
        <w:t>w przestrzeni</w:t>
      </w:r>
      <w:r w:rsidR="00701CAD" w:rsidRPr="00701CAD">
        <w:rPr>
          <w:rFonts w:ascii="Verdana" w:hAnsi="Verdana" w:cs="Arial"/>
          <w:sz w:val="20"/>
          <w:lang w:val="pl-PL"/>
        </w:rPr>
        <w:t xml:space="preserve"> </w:t>
      </w:r>
      <w:r w:rsidR="00701CAD">
        <w:rPr>
          <w:rFonts w:ascii="Verdana" w:hAnsi="Verdana" w:cs="Arial"/>
          <w:sz w:val="20"/>
          <w:lang w:val="pl-PL"/>
        </w:rPr>
        <w:t>formantów F1 x F2.</w:t>
      </w:r>
      <w:r w:rsidR="00FB0C3D">
        <w:rPr>
          <w:rFonts w:ascii="Verdana" w:hAnsi="Verdana" w:cs="Arial"/>
          <w:sz w:val="20"/>
          <w:lang w:val="pl-PL"/>
        </w:rPr>
        <w:t xml:space="preserve"> W tym celu dokonano </w:t>
      </w:r>
      <w:r>
        <w:rPr>
          <w:rFonts w:ascii="Verdana" w:hAnsi="Verdana" w:cs="Arial"/>
          <w:sz w:val="20"/>
          <w:lang w:val="pl-PL"/>
        </w:rPr>
        <w:t xml:space="preserve">najpierw </w:t>
      </w:r>
      <w:r w:rsidR="00FB0C3D">
        <w:rPr>
          <w:rFonts w:ascii="Verdana" w:hAnsi="Verdana" w:cs="Arial"/>
          <w:sz w:val="20"/>
          <w:lang w:val="pl-PL"/>
        </w:rPr>
        <w:t xml:space="preserve">ręcznej segmentacji dostarczonej próbki przy pomocy programu </w:t>
      </w:r>
      <w:proofErr w:type="spellStart"/>
      <w:r w:rsidR="00FB0C3D">
        <w:rPr>
          <w:rFonts w:ascii="Verdana" w:hAnsi="Verdana" w:cs="Arial"/>
          <w:sz w:val="20"/>
          <w:lang w:val="pl-PL"/>
        </w:rPr>
        <w:t>Intonation</w:t>
      </w:r>
      <w:proofErr w:type="spellEnd"/>
      <w:r w:rsidR="00FB0C3D">
        <w:rPr>
          <w:rFonts w:ascii="Verdana" w:hAnsi="Verdana" w:cs="Arial"/>
          <w:sz w:val="20"/>
          <w:lang w:val="pl-PL"/>
        </w:rPr>
        <w:t>, a następnie zaimportowano otrzymane dane o formantach do arkusza kalkulacyjnego i wygenerowano odpowiedni wykres.</w:t>
      </w:r>
    </w:p>
    <w:p w:rsidR="00C330C1" w:rsidRDefault="00C330C1" w:rsidP="006764A1">
      <w:pPr>
        <w:pStyle w:val="Nagwek2"/>
        <w:spacing w:after="120"/>
        <w:rPr>
          <w:lang w:val="pl-PL"/>
        </w:rPr>
      </w:pPr>
      <w:r>
        <w:rPr>
          <w:lang w:val="pl-PL"/>
        </w:rPr>
        <w:lastRenderedPageBreak/>
        <w:t>Wyniki</w:t>
      </w:r>
    </w:p>
    <w:p w:rsidR="00FB0C3D" w:rsidRDefault="00FB0C3D" w:rsidP="00C330C1">
      <w:pPr>
        <w:pStyle w:val="Nagwek3"/>
        <w:spacing w:after="120"/>
        <w:rPr>
          <w:lang w:val="pl-PL"/>
        </w:rPr>
      </w:pPr>
      <w:r>
        <w:rPr>
          <w:lang w:val="pl-PL"/>
        </w:rPr>
        <w:t>Lokalizacje samogłosek w badanej próbce</w:t>
      </w:r>
    </w:p>
    <w:p w:rsidR="00FB0C3D" w:rsidRPr="00FB0C3D" w:rsidRDefault="00FB0C3D" w:rsidP="00C330C1">
      <w:pPr>
        <w:jc w:val="center"/>
        <w:rPr>
          <w:lang w:val="pl-PL"/>
        </w:rPr>
      </w:pPr>
      <w:r w:rsidRPr="00FB0C3D">
        <w:rPr>
          <w:noProof/>
          <w:lang w:val="pl-PL" w:eastAsia="pl-PL" w:bidi="ar-SA"/>
        </w:rPr>
        <w:drawing>
          <wp:inline distT="0" distB="0" distL="0" distR="0">
            <wp:extent cx="4953635" cy="3420000"/>
            <wp:effectExtent l="0" t="19050" r="75565" b="66150"/>
            <wp:docPr id="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0C3D" w:rsidRPr="00701CAD" w:rsidRDefault="00FB0C3D" w:rsidP="00C330C1">
      <w:pPr>
        <w:pStyle w:val="Nagwek3"/>
        <w:spacing w:after="120"/>
        <w:rPr>
          <w:lang w:val="pl-PL"/>
        </w:rPr>
      </w:pPr>
      <w:r>
        <w:rPr>
          <w:lang w:val="pl-PL"/>
        </w:rPr>
        <w:t>Typowe lokalizacje samogłosek</w:t>
      </w:r>
    </w:p>
    <w:p w:rsidR="009960E9" w:rsidRDefault="00701CAD" w:rsidP="00701CAD">
      <w:pPr>
        <w:jc w:val="center"/>
        <w:rPr>
          <w:rFonts w:ascii="Verdana" w:hAnsi="Verdana" w:cs="Arial"/>
          <w:sz w:val="20"/>
        </w:rPr>
      </w:pPr>
      <w:r>
        <w:rPr>
          <w:rFonts w:ascii="Verdana" w:hAnsi="Verdana" w:cs="Arial"/>
          <w:noProof/>
          <w:sz w:val="20"/>
          <w:lang w:val="pl-PL" w:eastAsia="pl-PL" w:bidi="ar-SA"/>
        </w:rPr>
        <w:drawing>
          <wp:inline distT="0" distB="0" distL="0" distR="0">
            <wp:extent cx="2160000" cy="1991712"/>
            <wp:effectExtent l="57150" t="19050" r="106950" b="84738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99171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0C3D" w:rsidRPr="00FB0C3D" w:rsidRDefault="00FB0C3D" w:rsidP="00FB0C3D">
      <w:pPr>
        <w:pStyle w:val="Nagwek2"/>
        <w:rPr>
          <w:lang w:val="pl-PL"/>
        </w:rPr>
      </w:pPr>
      <w:r w:rsidRPr="00FB0C3D">
        <w:rPr>
          <w:lang w:val="pl-PL"/>
        </w:rPr>
        <w:t>Wnioski</w:t>
      </w:r>
    </w:p>
    <w:p w:rsidR="009960E9" w:rsidRPr="00FB0C3D" w:rsidRDefault="00FB0C3D">
      <w:pPr>
        <w:rPr>
          <w:lang w:val="pl-PL"/>
        </w:rPr>
      </w:pPr>
      <w:r w:rsidRPr="00FB0C3D">
        <w:rPr>
          <w:lang w:val="pl-PL"/>
        </w:rPr>
        <w:t xml:space="preserve">Porównując </w:t>
      </w:r>
      <w:r>
        <w:rPr>
          <w:lang w:val="pl-PL"/>
        </w:rPr>
        <w:t>lokalizacje</w:t>
      </w:r>
      <w:r w:rsidRPr="00FB0C3D">
        <w:rPr>
          <w:lang w:val="pl-PL"/>
        </w:rPr>
        <w:t xml:space="preserve"> samogłosek w przestrzeni </w:t>
      </w:r>
      <w:r>
        <w:rPr>
          <w:lang w:val="pl-PL"/>
        </w:rPr>
        <w:t>F1 x F2 w badanej próbce oraz ich typowe rozmieszczenie przedstawione na wykładzie można zaobserwować duże podobieństwo, co jest świadczy o dobrze wykonanym ćwiczeniu. Niestety widać również w wykonanej wizualizacji dość znaczne obszary nakładania się samogłosek. Może to wynikać z braku wprawy eksperymentatora podczas dokonywania segmentacji próbki. Należy również pamiętać o tym, że przedstawione na wykładzie typowe rozmieszczenie samogłosek nie może być traktowane ściśle</w:t>
      </w:r>
      <w:r w:rsidR="006764A1">
        <w:rPr>
          <w:lang w:val="pl-PL"/>
        </w:rPr>
        <w:t>. P</w:t>
      </w:r>
      <w:r>
        <w:rPr>
          <w:lang w:val="pl-PL"/>
        </w:rPr>
        <w:t xml:space="preserve">omija ono </w:t>
      </w:r>
      <w:r w:rsidR="006764A1">
        <w:rPr>
          <w:lang w:val="pl-PL"/>
        </w:rPr>
        <w:t>m.in. kwestię</w:t>
      </w:r>
      <w:r>
        <w:rPr>
          <w:lang w:val="pl-PL"/>
        </w:rPr>
        <w:t xml:space="preserve"> różnej wymowy samogłosek przez różne osoby i dlatego powinno być traktowane </w:t>
      </w:r>
      <w:r w:rsidR="006764A1">
        <w:rPr>
          <w:lang w:val="pl-PL"/>
        </w:rPr>
        <w:t>jedynie</w:t>
      </w:r>
      <w:r>
        <w:rPr>
          <w:lang w:val="pl-PL"/>
        </w:rPr>
        <w:t xml:space="preserve"> jako wskazówka </w:t>
      </w:r>
      <w:r w:rsidR="006764A1">
        <w:rPr>
          <w:lang w:val="pl-PL"/>
        </w:rPr>
        <w:t>dla bardziej zaawansowanych metod rozpoznawania mowy, które uwzględniają znacznie więcej danych.</w:t>
      </w:r>
    </w:p>
    <w:sectPr w:rsidR="009960E9" w:rsidRPr="00FB0C3D" w:rsidSect="00053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05ED7"/>
    <w:multiLevelType w:val="hybridMultilevel"/>
    <w:tmpl w:val="99B2D41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compat>
    <w:useFELayout/>
  </w:compat>
  <w:rsids>
    <w:rsidRoot w:val="00D604BF"/>
    <w:rsid w:val="0001000A"/>
    <w:rsid w:val="0005322B"/>
    <w:rsid w:val="00143128"/>
    <w:rsid w:val="001B5A3A"/>
    <w:rsid w:val="00245752"/>
    <w:rsid w:val="002668C0"/>
    <w:rsid w:val="002A5AAF"/>
    <w:rsid w:val="003253B2"/>
    <w:rsid w:val="0034003D"/>
    <w:rsid w:val="004144D5"/>
    <w:rsid w:val="0051535A"/>
    <w:rsid w:val="005334DB"/>
    <w:rsid w:val="00663C66"/>
    <w:rsid w:val="006764A1"/>
    <w:rsid w:val="006D3321"/>
    <w:rsid w:val="00701CAD"/>
    <w:rsid w:val="008656ED"/>
    <w:rsid w:val="009960E9"/>
    <w:rsid w:val="009B049A"/>
    <w:rsid w:val="00A7004D"/>
    <w:rsid w:val="00AB6C33"/>
    <w:rsid w:val="00BD0A41"/>
    <w:rsid w:val="00C10B4F"/>
    <w:rsid w:val="00C330C1"/>
    <w:rsid w:val="00C97BF5"/>
    <w:rsid w:val="00D604BF"/>
    <w:rsid w:val="00F4541F"/>
    <w:rsid w:val="00FB0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6C33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33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3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34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34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34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34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34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34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34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rsid w:val="0005322B"/>
    <w:pPr>
      <w:tabs>
        <w:tab w:val="num" w:pos="180"/>
      </w:tabs>
    </w:pPr>
    <w:rPr>
      <w:rFonts w:ascii="Verdana" w:hAnsi="Verdana" w:cs="Arial"/>
      <w:sz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5334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5A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5AA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33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334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334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5334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5334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5334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5334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5334D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5334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334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5334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34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334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334DB"/>
    <w:rPr>
      <w:b/>
      <w:bCs/>
    </w:rPr>
  </w:style>
  <w:style w:type="character" w:styleId="Uwydatnienie">
    <w:name w:val="Emphasis"/>
    <w:basedOn w:val="Domylnaczcionkaakapitu"/>
    <w:uiPriority w:val="20"/>
    <w:qFormat/>
    <w:rsid w:val="005334DB"/>
    <w:rPr>
      <w:i/>
      <w:iCs/>
    </w:rPr>
  </w:style>
  <w:style w:type="paragraph" w:styleId="Bezodstpw">
    <w:name w:val="No Spacing"/>
    <w:link w:val="BezodstpwZnak"/>
    <w:uiPriority w:val="1"/>
    <w:qFormat/>
    <w:rsid w:val="005334D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334D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334D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5334DB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34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34DB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5334DB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5334DB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5334DB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5334DB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5334DB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334DB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5334DB"/>
  </w:style>
  <w:style w:type="paragraph" w:styleId="Plandokumentu">
    <w:name w:val="Document Map"/>
    <w:basedOn w:val="Normalny"/>
    <w:link w:val="PlandokumentuZnak"/>
    <w:uiPriority w:val="99"/>
    <w:semiHidden/>
    <w:unhideWhenUsed/>
    <w:rsid w:val="0051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515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K:\Marcin\Documents\Nauka\Politechnika\Przedmioty\S5\Nowy%20folder\Kody\Mowa\Mow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/>
      <c:barChart>
        <c:barDir val="col"/>
        <c:grouping val="clustered"/>
        <c:ser>
          <c:idx val="5"/>
          <c:order val="0"/>
          <c:tx>
            <c:v>Średnia</c:v>
          </c:tx>
          <c:cat>
            <c:strRef>
              <c:f>Arkusz1!$B$1:$C$1</c:f>
              <c:strCache>
                <c:ptCount val="2"/>
                <c:pt idx="0">
                  <c:v>Mężczyzna</c:v>
                </c:pt>
                <c:pt idx="1">
                  <c:v>Kobieta</c:v>
                </c:pt>
              </c:strCache>
            </c:strRef>
          </c:cat>
          <c:val>
            <c:numRef>
              <c:f>Arkusz1!$B$7:$C$7</c:f>
              <c:numCache>
                <c:formatCode>General</c:formatCode>
                <c:ptCount val="2"/>
                <c:pt idx="0">
                  <c:v>116.8</c:v>
                </c:pt>
                <c:pt idx="1">
                  <c:v>217.4</c:v>
                </c:pt>
              </c:numCache>
            </c:numRef>
          </c:val>
        </c:ser>
        <c:axId val="75266688"/>
        <c:axId val="80810752"/>
      </c:barChart>
      <c:catAx>
        <c:axId val="75266688"/>
        <c:scaling>
          <c:orientation val="minMax"/>
        </c:scaling>
        <c:axPos val="b"/>
        <c:tickLblPos val="nextTo"/>
        <c:crossAx val="80810752"/>
        <c:crosses val="autoZero"/>
        <c:auto val="1"/>
        <c:lblAlgn val="ctr"/>
        <c:lblOffset val="100"/>
      </c:catAx>
      <c:valAx>
        <c:axId val="808107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Hz</a:t>
                </a:r>
              </a:p>
            </c:rich>
          </c:tx>
        </c:title>
        <c:numFmt formatCode="General" sourceLinked="1"/>
        <c:tickLblPos val="nextTo"/>
        <c:crossAx val="75266688"/>
        <c:crosses val="autoZero"/>
        <c:crossBetween val="between"/>
      </c:valAx>
    </c:plotArea>
    <c:plotVisOnly val="1"/>
  </c:chart>
  <c:spPr>
    <a:ln w="12700">
      <a:solidFill>
        <a:schemeClr val="tx1"/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a</c:v>
          </c:tx>
          <c:spPr>
            <a:ln w="28575">
              <a:noFill/>
            </a:ln>
          </c:spPr>
          <c:xVal>
            <c:numRef>
              <c:f>a!$B$2:$B$73</c:f>
              <c:numCache>
                <c:formatCode>General</c:formatCode>
                <c:ptCount val="72"/>
                <c:pt idx="0">
                  <c:v>605</c:v>
                </c:pt>
                <c:pt idx="1">
                  <c:v>606</c:v>
                </c:pt>
                <c:pt idx="2">
                  <c:v>587</c:v>
                </c:pt>
                <c:pt idx="3">
                  <c:v>568</c:v>
                </c:pt>
                <c:pt idx="4">
                  <c:v>574</c:v>
                </c:pt>
                <c:pt idx="5">
                  <c:v>535</c:v>
                </c:pt>
                <c:pt idx="6">
                  <c:v>352</c:v>
                </c:pt>
                <c:pt idx="7">
                  <c:v>248</c:v>
                </c:pt>
                <c:pt idx="8">
                  <c:v>586</c:v>
                </c:pt>
                <c:pt idx="9">
                  <c:v>591</c:v>
                </c:pt>
                <c:pt idx="10">
                  <c:v>587</c:v>
                </c:pt>
                <c:pt idx="11">
                  <c:v>574</c:v>
                </c:pt>
                <c:pt idx="12">
                  <c:v>564</c:v>
                </c:pt>
                <c:pt idx="13">
                  <c:v>552</c:v>
                </c:pt>
                <c:pt idx="14">
                  <c:v>468</c:v>
                </c:pt>
                <c:pt idx="15">
                  <c:v>632</c:v>
                </c:pt>
                <c:pt idx="16">
                  <c:v>625</c:v>
                </c:pt>
                <c:pt idx="17">
                  <c:v>603</c:v>
                </c:pt>
                <c:pt idx="18">
                  <c:v>587</c:v>
                </c:pt>
                <c:pt idx="19">
                  <c:v>582</c:v>
                </c:pt>
                <c:pt idx="20">
                  <c:v>557</c:v>
                </c:pt>
                <c:pt idx="21">
                  <c:v>449</c:v>
                </c:pt>
                <c:pt idx="22">
                  <c:v>613</c:v>
                </c:pt>
                <c:pt idx="23">
                  <c:v>635</c:v>
                </c:pt>
                <c:pt idx="24">
                  <c:v>653</c:v>
                </c:pt>
                <c:pt idx="25">
                  <c:v>654</c:v>
                </c:pt>
                <c:pt idx="26">
                  <c:v>634</c:v>
                </c:pt>
                <c:pt idx="27">
                  <c:v>573</c:v>
                </c:pt>
                <c:pt idx="28">
                  <c:v>584</c:v>
                </c:pt>
                <c:pt idx="29">
                  <c:v>592</c:v>
                </c:pt>
                <c:pt idx="30">
                  <c:v>556</c:v>
                </c:pt>
                <c:pt idx="31">
                  <c:v>705</c:v>
                </c:pt>
                <c:pt idx="32">
                  <c:v>723</c:v>
                </c:pt>
                <c:pt idx="33">
                  <c:v>737</c:v>
                </c:pt>
                <c:pt idx="34">
                  <c:v>749</c:v>
                </c:pt>
                <c:pt idx="35">
                  <c:v>765</c:v>
                </c:pt>
                <c:pt idx="36">
                  <c:v>765</c:v>
                </c:pt>
                <c:pt idx="37">
                  <c:v>746</c:v>
                </c:pt>
                <c:pt idx="38">
                  <c:v>734</c:v>
                </c:pt>
                <c:pt idx="39">
                  <c:v>727</c:v>
                </c:pt>
                <c:pt idx="40">
                  <c:v>717</c:v>
                </c:pt>
                <c:pt idx="41">
                  <c:v>696</c:v>
                </c:pt>
                <c:pt idx="42">
                  <c:v>670</c:v>
                </c:pt>
                <c:pt idx="43">
                  <c:v>649</c:v>
                </c:pt>
                <c:pt idx="44">
                  <c:v>638</c:v>
                </c:pt>
                <c:pt idx="45">
                  <c:v>611</c:v>
                </c:pt>
                <c:pt idx="46">
                  <c:v>557</c:v>
                </c:pt>
                <c:pt idx="47">
                  <c:v>471</c:v>
                </c:pt>
                <c:pt idx="48">
                  <c:v>663</c:v>
                </c:pt>
                <c:pt idx="49">
                  <c:v>642</c:v>
                </c:pt>
                <c:pt idx="50">
                  <c:v>619</c:v>
                </c:pt>
                <c:pt idx="51">
                  <c:v>567</c:v>
                </c:pt>
                <c:pt idx="52">
                  <c:v>256</c:v>
                </c:pt>
                <c:pt idx="53">
                  <c:v>785</c:v>
                </c:pt>
                <c:pt idx="54">
                  <c:v>800</c:v>
                </c:pt>
                <c:pt idx="55">
                  <c:v>800</c:v>
                </c:pt>
                <c:pt idx="56">
                  <c:v>792</c:v>
                </c:pt>
                <c:pt idx="57">
                  <c:v>789</c:v>
                </c:pt>
                <c:pt idx="58">
                  <c:v>782</c:v>
                </c:pt>
                <c:pt idx="59">
                  <c:v>773</c:v>
                </c:pt>
                <c:pt idx="60">
                  <c:v>770</c:v>
                </c:pt>
                <c:pt idx="61">
                  <c:v>776</c:v>
                </c:pt>
                <c:pt idx="62">
                  <c:v>791</c:v>
                </c:pt>
                <c:pt idx="63">
                  <c:v>795</c:v>
                </c:pt>
                <c:pt idx="64">
                  <c:v>782</c:v>
                </c:pt>
                <c:pt idx="65">
                  <c:v>750</c:v>
                </c:pt>
                <c:pt idx="66">
                  <c:v>652</c:v>
                </c:pt>
                <c:pt idx="67">
                  <c:v>672</c:v>
                </c:pt>
                <c:pt idx="68">
                  <c:v>691</c:v>
                </c:pt>
                <c:pt idx="69">
                  <c:v>681</c:v>
                </c:pt>
                <c:pt idx="70">
                  <c:v>660</c:v>
                </c:pt>
                <c:pt idx="71">
                  <c:v>640</c:v>
                </c:pt>
              </c:numCache>
            </c:numRef>
          </c:xVal>
          <c:yVal>
            <c:numRef>
              <c:f>a!$C$2:$C$73</c:f>
              <c:numCache>
                <c:formatCode>General</c:formatCode>
                <c:ptCount val="72"/>
                <c:pt idx="0">
                  <c:v>1183</c:v>
                </c:pt>
                <c:pt idx="1">
                  <c:v>1156</c:v>
                </c:pt>
                <c:pt idx="2">
                  <c:v>1138</c:v>
                </c:pt>
                <c:pt idx="3">
                  <c:v>1141</c:v>
                </c:pt>
                <c:pt idx="4">
                  <c:v>1221</c:v>
                </c:pt>
                <c:pt idx="5">
                  <c:v>1192</c:v>
                </c:pt>
                <c:pt idx="6">
                  <c:v>1146</c:v>
                </c:pt>
                <c:pt idx="7">
                  <c:v>1082</c:v>
                </c:pt>
                <c:pt idx="8">
                  <c:v>1221</c:v>
                </c:pt>
                <c:pt idx="9">
                  <c:v>1245</c:v>
                </c:pt>
                <c:pt idx="10">
                  <c:v>1274</c:v>
                </c:pt>
                <c:pt idx="11">
                  <c:v>1323</c:v>
                </c:pt>
                <c:pt idx="12">
                  <c:v>1388</c:v>
                </c:pt>
                <c:pt idx="13">
                  <c:v>1440</c:v>
                </c:pt>
                <c:pt idx="14">
                  <c:v>1464</c:v>
                </c:pt>
                <c:pt idx="15">
                  <c:v>1200</c:v>
                </c:pt>
                <c:pt idx="16">
                  <c:v>1174</c:v>
                </c:pt>
                <c:pt idx="17">
                  <c:v>1144</c:v>
                </c:pt>
                <c:pt idx="18">
                  <c:v>1093</c:v>
                </c:pt>
                <c:pt idx="19">
                  <c:v>1045</c:v>
                </c:pt>
                <c:pt idx="20">
                  <c:v>990</c:v>
                </c:pt>
                <c:pt idx="21">
                  <c:v>927</c:v>
                </c:pt>
                <c:pt idx="22">
                  <c:v>1182</c:v>
                </c:pt>
                <c:pt idx="23">
                  <c:v>1154</c:v>
                </c:pt>
                <c:pt idx="24">
                  <c:v>1124</c:v>
                </c:pt>
                <c:pt idx="25">
                  <c:v>1109</c:v>
                </c:pt>
                <c:pt idx="26">
                  <c:v>1091</c:v>
                </c:pt>
                <c:pt idx="27">
                  <c:v>1271</c:v>
                </c:pt>
                <c:pt idx="28">
                  <c:v>1330</c:v>
                </c:pt>
                <c:pt idx="29">
                  <c:v>1376</c:v>
                </c:pt>
                <c:pt idx="30">
                  <c:v>1396</c:v>
                </c:pt>
                <c:pt idx="31">
                  <c:v>1206</c:v>
                </c:pt>
                <c:pt idx="32">
                  <c:v>1204</c:v>
                </c:pt>
                <c:pt idx="33">
                  <c:v>1202</c:v>
                </c:pt>
                <c:pt idx="34">
                  <c:v>1189</c:v>
                </c:pt>
                <c:pt idx="35">
                  <c:v>1181</c:v>
                </c:pt>
                <c:pt idx="36">
                  <c:v>1183</c:v>
                </c:pt>
                <c:pt idx="37">
                  <c:v>1186</c:v>
                </c:pt>
                <c:pt idx="38">
                  <c:v>1186</c:v>
                </c:pt>
                <c:pt idx="39">
                  <c:v>1179</c:v>
                </c:pt>
                <c:pt idx="40">
                  <c:v>1159</c:v>
                </c:pt>
                <c:pt idx="41">
                  <c:v>1139</c:v>
                </c:pt>
                <c:pt idx="42">
                  <c:v>1125</c:v>
                </c:pt>
                <c:pt idx="43">
                  <c:v>1108</c:v>
                </c:pt>
                <c:pt idx="44">
                  <c:v>1089</c:v>
                </c:pt>
                <c:pt idx="45">
                  <c:v>1057</c:v>
                </c:pt>
                <c:pt idx="46">
                  <c:v>1014</c:v>
                </c:pt>
                <c:pt idx="47">
                  <c:v>986</c:v>
                </c:pt>
                <c:pt idx="48">
                  <c:v>1195</c:v>
                </c:pt>
                <c:pt idx="49">
                  <c:v>1160</c:v>
                </c:pt>
                <c:pt idx="50">
                  <c:v>1127</c:v>
                </c:pt>
                <c:pt idx="51">
                  <c:v>1095</c:v>
                </c:pt>
                <c:pt idx="52">
                  <c:v>1017</c:v>
                </c:pt>
                <c:pt idx="53">
                  <c:v>1219</c:v>
                </c:pt>
                <c:pt idx="54">
                  <c:v>1227</c:v>
                </c:pt>
                <c:pt idx="55">
                  <c:v>1227</c:v>
                </c:pt>
                <c:pt idx="56">
                  <c:v>1229</c:v>
                </c:pt>
                <c:pt idx="57">
                  <c:v>1233</c:v>
                </c:pt>
                <c:pt idx="58">
                  <c:v>1236</c:v>
                </c:pt>
                <c:pt idx="59">
                  <c:v>1241</c:v>
                </c:pt>
                <c:pt idx="60">
                  <c:v>1245</c:v>
                </c:pt>
                <c:pt idx="61">
                  <c:v>1246</c:v>
                </c:pt>
                <c:pt idx="62">
                  <c:v>1247</c:v>
                </c:pt>
                <c:pt idx="63">
                  <c:v>1243</c:v>
                </c:pt>
                <c:pt idx="64">
                  <c:v>1239</c:v>
                </c:pt>
                <c:pt idx="65">
                  <c:v>1244</c:v>
                </c:pt>
                <c:pt idx="66">
                  <c:v>1333</c:v>
                </c:pt>
                <c:pt idx="67">
                  <c:v>1305</c:v>
                </c:pt>
                <c:pt idx="68">
                  <c:v>1267</c:v>
                </c:pt>
                <c:pt idx="69">
                  <c:v>1231</c:v>
                </c:pt>
                <c:pt idx="70">
                  <c:v>1197</c:v>
                </c:pt>
                <c:pt idx="71">
                  <c:v>1158</c:v>
                </c:pt>
              </c:numCache>
            </c:numRef>
          </c:yVal>
        </c:ser>
        <c:ser>
          <c:idx val="1"/>
          <c:order val="1"/>
          <c:tx>
            <c:v>e</c:v>
          </c:tx>
          <c:spPr>
            <a:ln w="28575">
              <a:noFill/>
            </a:ln>
          </c:spPr>
          <c:xVal>
            <c:numRef>
              <c:f>e!$B$2:$B$49</c:f>
              <c:numCache>
                <c:formatCode>General</c:formatCode>
                <c:ptCount val="48"/>
                <c:pt idx="0">
                  <c:v>389</c:v>
                </c:pt>
                <c:pt idx="1">
                  <c:v>305</c:v>
                </c:pt>
                <c:pt idx="2">
                  <c:v>255</c:v>
                </c:pt>
                <c:pt idx="3">
                  <c:v>247</c:v>
                </c:pt>
                <c:pt idx="4">
                  <c:v>416</c:v>
                </c:pt>
                <c:pt idx="5">
                  <c:v>490</c:v>
                </c:pt>
                <c:pt idx="6">
                  <c:v>438</c:v>
                </c:pt>
                <c:pt idx="7">
                  <c:v>313</c:v>
                </c:pt>
                <c:pt idx="8">
                  <c:v>233</c:v>
                </c:pt>
                <c:pt idx="9">
                  <c:v>210</c:v>
                </c:pt>
                <c:pt idx="10">
                  <c:v>202</c:v>
                </c:pt>
                <c:pt idx="11">
                  <c:v>205</c:v>
                </c:pt>
                <c:pt idx="12">
                  <c:v>209</c:v>
                </c:pt>
                <c:pt idx="13">
                  <c:v>206</c:v>
                </c:pt>
                <c:pt idx="14">
                  <c:v>202</c:v>
                </c:pt>
                <c:pt idx="15">
                  <c:v>201</c:v>
                </c:pt>
                <c:pt idx="16">
                  <c:v>204</c:v>
                </c:pt>
                <c:pt idx="17">
                  <c:v>197</c:v>
                </c:pt>
                <c:pt idx="18">
                  <c:v>551</c:v>
                </c:pt>
                <c:pt idx="19">
                  <c:v>302</c:v>
                </c:pt>
                <c:pt idx="20">
                  <c:v>313</c:v>
                </c:pt>
                <c:pt idx="21">
                  <c:v>322</c:v>
                </c:pt>
                <c:pt idx="22">
                  <c:v>322</c:v>
                </c:pt>
                <c:pt idx="23">
                  <c:v>328</c:v>
                </c:pt>
                <c:pt idx="24">
                  <c:v>334</c:v>
                </c:pt>
                <c:pt idx="25">
                  <c:v>332</c:v>
                </c:pt>
                <c:pt idx="26">
                  <c:v>365</c:v>
                </c:pt>
                <c:pt idx="27">
                  <c:v>371</c:v>
                </c:pt>
                <c:pt idx="28">
                  <c:v>435</c:v>
                </c:pt>
                <c:pt idx="29">
                  <c:v>430</c:v>
                </c:pt>
                <c:pt idx="30">
                  <c:v>385</c:v>
                </c:pt>
                <c:pt idx="31">
                  <c:v>353</c:v>
                </c:pt>
                <c:pt idx="32">
                  <c:v>413</c:v>
                </c:pt>
                <c:pt idx="33">
                  <c:v>425</c:v>
                </c:pt>
                <c:pt idx="34">
                  <c:v>424</c:v>
                </c:pt>
                <c:pt idx="35">
                  <c:v>430</c:v>
                </c:pt>
                <c:pt idx="36">
                  <c:v>403</c:v>
                </c:pt>
                <c:pt idx="37">
                  <c:v>340</c:v>
                </c:pt>
                <c:pt idx="38">
                  <c:v>472</c:v>
                </c:pt>
                <c:pt idx="39">
                  <c:v>536</c:v>
                </c:pt>
                <c:pt idx="40">
                  <c:v>549</c:v>
                </c:pt>
                <c:pt idx="41">
                  <c:v>563</c:v>
                </c:pt>
                <c:pt idx="42">
                  <c:v>572</c:v>
                </c:pt>
                <c:pt idx="43">
                  <c:v>340</c:v>
                </c:pt>
                <c:pt idx="44">
                  <c:v>301</c:v>
                </c:pt>
                <c:pt idx="45">
                  <c:v>277</c:v>
                </c:pt>
                <c:pt idx="46">
                  <c:v>259</c:v>
                </c:pt>
                <c:pt idx="47">
                  <c:v>247</c:v>
                </c:pt>
              </c:numCache>
            </c:numRef>
          </c:xVal>
          <c:yVal>
            <c:numRef>
              <c:f>a!$C$2:$C$73</c:f>
              <c:numCache>
                <c:formatCode>General</c:formatCode>
                <c:ptCount val="72"/>
                <c:pt idx="0">
                  <c:v>1183</c:v>
                </c:pt>
                <c:pt idx="1">
                  <c:v>1156</c:v>
                </c:pt>
                <c:pt idx="2">
                  <c:v>1138</c:v>
                </c:pt>
                <c:pt idx="3">
                  <c:v>1141</c:v>
                </c:pt>
                <c:pt idx="4">
                  <c:v>1221</c:v>
                </c:pt>
                <c:pt idx="5">
                  <c:v>1192</c:v>
                </c:pt>
                <c:pt idx="6">
                  <c:v>1146</c:v>
                </c:pt>
                <c:pt idx="7">
                  <c:v>1082</c:v>
                </c:pt>
                <c:pt idx="8">
                  <c:v>1221</c:v>
                </c:pt>
                <c:pt idx="9">
                  <c:v>1245</c:v>
                </c:pt>
                <c:pt idx="10">
                  <c:v>1274</c:v>
                </c:pt>
                <c:pt idx="11">
                  <c:v>1323</c:v>
                </c:pt>
                <c:pt idx="12">
                  <c:v>1388</c:v>
                </c:pt>
                <c:pt idx="13">
                  <c:v>1440</c:v>
                </c:pt>
                <c:pt idx="14">
                  <c:v>1464</c:v>
                </c:pt>
                <c:pt idx="15">
                  <c:v>1200</c:v>
                </c:pt>
                <c:pt idx="16">
                  <c:v>1174</c:v>
                </c:pt>
                <c:pt idx="17">
                  <c:v>1144</c:v>
                </c:pt>
                <c:pt idx="18">
                  <c:v>1093</c:v>
                </c:pt>
                <c:pt idx="19">
                  <c:v>1045</c:v>
                </c:pt>
                <c:pt idx="20">
                  <c:v>990</c:v>
                </c:pt>
                <c:pt idx="21">
                  <c:v>927</c:v>
                </c:pt>
                <c:pt idx="22">
                  <c:v>1182</c:v>
                </c:pt>
                <c:pt idx="23">
                  <c:v>1154</c:v>
                </c:pt>
                <c:pt idx="24">
                  <c:v>1124</c:v>
                </c:pt>
                <c:pt idx="25">
                  <c:v>1109</c:v>
                </c:pt>
                <c:pt idx="26">
                  <c:v>1091</c:v>
                </c:pt>
                <c:pt idx="27">
                  <c:v>1271</c:v>
                </c:pt>
                <c:pt idx="28">
                  <c:v>1330</c:v>
                </c:pt>
                <c:pt idx="29">
                  <c:v>1376</c:v>
                </c:pt>
                <c:pt idx="30">
                  <c:v>1396</c:v>
                </c:pt>
                <c:pt idx="31">
                  <c:v>1206</c:v>
                </c:pt>
                <c:pt idx="32">
                  <c:v>1204</c:v>
                </c:pt>
                <c:pt idx="33">
                  <c:v>1202</c:v>
                </c:pt>
                <c:pt idx="34">
                  <c:v>1189</c:v>
                </c:pt>
                <c:pt idx="35">
                  <c:v>1181</c:v>
                </c:pt>
                <c:pt idx="36">
                  <c:v>1183</c:v>
                </c:pt>
                <c:pt idx="37">
                  <c:v>1186</c:v>
                </c:pt>
                <c:pt idx="38">
                  <c:v>1186</c:v>
                </c:pt>
                <c:pt idx="39">
                  <c:v>1179</c:v>
                </c:pt>
                <c:pt idx="40">
                  <c:v>1159</c:v>
                </c:pt>
                <c:pt idx="41">
                  <c:v>1139</c:v>
                </c:pt>
                <c:pt idx="42">
                  <c:v>1125</c:v>
                </c:pt>
                <c:pt idx="43">
                  <c:v>1108</c:v>
                </c:pt>
                <c:pt idx="44">
                  <c:v>1089</c:v>
                </c:pt>
                <c:pt idx="45">
                  <c:v>1057</c:v>
                </c:pt>
                <c:pt idx="46">
                  <c:v>1014</c:v>
                </c:pt>
                <c:pt idx="47">
                  <c:v>986</c:v>
                </c:pt>
                <c:pt idx="48">
                  <c:v>1195</c:v>
                </c:pt>
                <c:pt idx="49">
                  <c:v>1160</c:v>
                </c:pt>
                <c:pt idx="50">
                  <c:v>1127</c:v>
                </c:pt>
                <c:pt idx="51">
                  <c:v>1095</c:v>
                </c:pt>
                <c:pt idx="52">
                  <c:v>1017</c:v>
                </c:pt>
                <c:pt idx="53">
                  <c:v>1219</c:v>
                </c:pt>
                <c:pt idx="54">
                  <c:v>1227</c:v>
                </c:pt>
                <c:pt idx="55">
                  <c:v>1227</c:v>
                </c:pt>
                <c:pt idx="56">
                  <c:v>1229</c:v>
                </c:pt>
                <c:pt idx="57">
                  <c:v>1233</c:v>
                </c:pt>
                <c:pt idx="58">
                  <c:v>1236</c:v>
                </c:pt>
                <c:pt idx="59">
                  <c:v>1241</c:v>
                </c:pt>
                <c:pt idx="60">
                  <c:v>1245</c:v>
                </c:pt>
                <c:pt idx="61">
                  <c:v>1246</c:v>
                </c:pt>
                <c:pt idx="62">
                  <c:v>1247</c:v>
                </c:pt>
                <c:pt idx="63">
                  <c:v>1243</c:v>
                </c:pt>
                <c:pt idx="64">
                  <c:v>1239</c:v>
                </c:pt>
                <c:pt idx="65">
                  <c:v>1244</c:v>
                </c:pt>
                <c:pt idx="66">
                  <c:v>1333</c:v>
                </c:pt>
                <c:pt idx="67">
                  <c:v>1305</c:v>
                </c:pt>
                <c:pt idx="68">
                  <c:v>1267</c:v>
                </c:pt>
                <c:pt idx="69">
                  <c:v>1231</c:v>
                </c:pt>
                <c:pt idx="70">
                  <c:v>1197</c:v>
                </c:pt>
                <c:pt idx="71">
                  <c:v>1158</c:v>
                </c:pt>
              </c:numCache>
            </c:numRef>
          </c:yVal>
        </c:ser>
        <c:ser>
          <c:idx val="2"/>
          <c:order val="2"/>
          <c:tx>
            <c:v>i</c:v>
          </c:tx>
          <c:spPr>
            <a:ln w="28575">
              <a:noFill/>
            </a:ln>
          </c:spPr>
          <c:xVal>
            <c:numRef>
              <c:f>i!$B$2:$B$38</c:f>
              <c:numCache>
                <c:formatCode>General</c:formatCode>
                <c:ptCount val="37"/>
                <c:pt idx="0">
                  <c:v>206</c:v>
                </c:pt>
                <c:pt idx="1">
                  <c:v>208</c:v>
                </c:pt>
                <c:pt idx="2">
                  <c:v>209</c:v>
                </c:pt>
                <c:pt idx="3">
                  <c:v>208</c:v>
                </c:pt>
                <c:pt idx="4">
                  <c:v>210</c:v>
                </c:pt>
                <c:pt idx="5">
                  <c:v>214</c:v>
                </c:pt>
                <c:pt idx="6">
                  <c:v>217</c:v>
                </c:pt>
                <c:pt idx="7">
                  <c:v>223</c:v>
                </c:pt>
                <c:pt idx="8">
                  <c:v>240</c:v>
                </c:pt>
                <c:pt idx="9">
                  <c:v>273</c:v>
                </c:pt>
                <c:pt idx="10">
                  <c:v>280</c:v>
                </c:pt>
                <c:pt idx="11">
                  <c:v>282</c:v>
                </c:pt>
                <c:pt idx="12">
                  <c:v>290</c:v>
                </c:pt>
                <c:pt idx="13">
                  <c:v>302</c:v>
                </c:pt>
                <c:pt idx="14">
                  <c:v>317</c:v>
                </c:pt>
                <c:pt idx="15">
                  <c:v>223</c:v>
                </c:pt>
                <c:pt idx="16">
                  <c:v>222</c:v>
                </c:pt>
                <c:pt idx="17">
                  <c:v>222</c:v>
                </c:pt>
                <c:pt idx="18">
                  <c:v>222</c:v>
                </c:pt>
                <c:pt idx="19">
                  <c:v>221</c:v>
                </c:pt>
                <c:pt idx="20">
                  <c:v>220</c:v>
                </c:pt>
                <c:pt idx="21">
                  <c:v>219</c:v>
                </c:pt>
                <c:pt idx="22">
                  <c:v>216</c:v>
                </c:pt>
                <c:pt idx="23">
                  <c:v>215</c:v>
                </c:pt>
                <c:pt idx="24">
                  <c:v>198</c:v>
                </c:pt>
                <c:pt idx="25">
                  <c:v>198</c:v>
                </c:pt>
                <c:pt idx="26">
                  <c:v>198</c:v>
                </c:pt>
                <c:pt idx="27">
                  <c:v>197</c:v>
                </c:pt>
                <c:pt idx="28">
                  <c:v>196</c:v>
                </c:pt>
                <c:pt idx="29">
                  <c:v>196</c:v>
                </c:pt>
                <c:pt idx="30">
                  <c:v>196</c:v>
                </c:pt>
                <c:pt idx="31">
                  <c:v>195</c:v>
                </c:pt>
                <c:pt idx="32">
                  <c:v>197</c:v>
                </c:pt>
                <c:pt idx="33">
                  <c:v>200</c:v>
                </c:pt>
                <c:pt idx="34">
                  <c:v>201</c:v>
                </c:pt>
                <c:pt idx="35">
                  <c:v>203</c:v>
                </c:pt>
                <c:pt idx="36">
                  <c:v>206</c:v>
                </c:pt>
              </c:numCache>
            </c:numRef>
          </c:xVal>
          <c:yVal>
            <c:numRef>
              <c:f>i!$C$2:$C$38</c:f>
              <c:numCache>
                <c:formatCode>General</c:formatCode>
                <c:ptCount val="37"/>
                <c:pt idx="0">
                  <c:v>2288</c:v>
                </c:pt>
                <c:pt idx="1">
                  <c:v>2313</c:v>
                </c:pt>
                <c:pt idx="2">
                  <c:v>2334</c:v>
                </c:pt>
                <c:pt idx="3">
                  <c:v>2282</c:v>
                </c:pt>
                <c:pt idx="4">
                  <c:v>2228</c:v>
                </c:pt>
                <c:pt idx="5">
                  <c:v>2175</c:v>
                </c:pt>
                <c:pt idx="6">
                  <c:v>2117</c:v>
                </c:pt>
                <c:pt idx="7">
                  <c:v>2045</c:v>
                </c:pt>
                <c:pt idx="8">
                  <c:v>1799</c:v>
                </c:pt>
                <c:pt idx="9">
                  <c:v>1902</c:v>
                </c:pt>
                <c:pt idx="10">
                  <c:v>1574</c:v>
                </c:pt>
                <c:pt idx="11">
                  <c:v>1321</c:v>
                </c:pt>
                <c:pt idx="12">
                  <c:v>1212</c:v>
                </c:pt>
                <c:pt idx="13">
                  <c:v>1148</c:v>
                </c:pt>
                <c:pt idx="14">
                  <c:v>1131</c:v>
                </c:pt>
                <c:pt idx="15">
                  <c:v>2173</c:v>
                </c:pt>
                <c:pt idx="16">
                  <c:v>2140</c:v>
                </c:pt>
                <c:pt idx="17">
                  <c:v>2137</c:v>
                </c:pt>
                <c:pt idx="18">
                  <c:v>2140</c:v>
                </c:pt>
                <c:pt idx="19">
                  <c:v>2133</c:v>
                </c:pt>
                <c:pt idx="20">
                  <c:v>2123</c:v>
                </c:pt>
                <c:pt idx="21">
                  <c:v>2124</c:v>
                </c:pt>
                <c:pt idx="22">
                  <c:v>2133</c:v>
                </c:pt>
                <c:pt idx="23">
                  <c:v>2188</c:v>
                </c:pt>
                <c:pt idx="24">
                  <c:v>2247</c:v>
                </c:pt>
                <c:pt idx="25">
                  <c:v>2262</c:v>
                </c:pt>
                <c:pt idx="26">
                  <c:v>2312</c:v>
                </c:pt>
                <c:pt idx="27">
                  <c:v>2331</c:v>
                </c:pt>
                <c:pt idx="28">
                  <c:v>2354</c:v>
                </c:pt>
                <c:pt idx="29">
                  <c:v>2417</c:v>
                </c:pt>
                <c:pt idx="30">
                  <c:v>2232</c:v>
                </c:pt>
                <c:pt idx="31">
                  <c:v>2245</c:v>
                </c:pt>
                <c:pt idx="32">
                  <c:v>2257</c:v>
                </c:pt>
                <c:pt idx="33">
                  <c:v>2262</c:v>
                </c:pt>
                <c:pt idx="34">
                  <c:v>2270</c:v>
                </c:pt>
                <c:pt idx="35">
                  <c:v>2255</c:v>
                </c:pt>
                <c:pt idx="36">
                  <c:v>2224</c:v>
                </c:pt>
              </c:numCache>
            </c:numRef>
          </c:yVal>
        </c:ser>
        <c:ser>
          <c:idx val="3"/>
          <c:order val="3"/>
          <c:tx>
            <c:v>o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o!$B$2:$B$32</c:f>
              <c:numCache>
                <c:formatCode>General</c:formatCode>
                <c:ptCount val="31"/>
                <c:pt idx="0">
                  <c:v>390</c:v>
                </c:pt>
                <c:pt idx="1">
                  <c:v>306</c:v>
                </c:pt>
                <c:pt idx="2">
                  <c:v>265</c:v>
                </c:pt>
                <c:pt idx="3">
                  <c:v>214</c:v>
                </c:pt>
                <c:pt idx="4">
                  <c:v>250</c:v>
                </c:pt>
                <c:pt idx="5">
                  <c:v>246</c:v>
                </c:pt>
                <c:pt idx="6">
                  <c:v>244</c:v>
                </c:pt>
                <c:pt idx="7">
                  <c:v>244</c:v>
                </c:pt>
                <c:pt idx="8">
                  <c:v>241</c:v>
                </c:pt>
                <c:pt idx="9">
                  <c:v>238</c:v>
                </c:pt>
                <c:pt idx="10">
                  <c:v>237</c:v>
                </c:pt>
                <c:pt idx="11">
                  <c:v>240</c:v>
                </c:pt>
                <c:pt idx="12">
                  <c:v>400</c:v>
                </c:pt>
                <c:pt idx="13">
                  <c:v>396</c:v>
                </c:pt>
                <c:pt idx="14">
                  <c:v>393</c:v>
                </c:pt>
                <c:pt idx="15">
                  <c:v>374</c:v>
                </c:pt>
                <c:pt idx="16">
                  <c:v>373</c:v>
                </c:pt>
                <c:pt idx="17">
                  <c:v>396</c:v>
                </c:pt>
                <c:pt idx="18">
                  <c:v>409</c:v>
                </c:pt>
                <c:pt idx="19">
                  <c:v>389</c:v>
                </c:pt>
                <c:pt idx="20">
                  <c:v>370</c:v>
                </c:pt>
                <c:pt idx="21">
                  <c:v>356</c:v>
                </c:pt>
                <c:pt idx="22">
                  <c:v>328</c:v>
                </c:pt>
                <c:pt idx="23">
                  <c:v>296</c:v>
                </c:pt>
                <c:pt idx="24">
                  <c:v>271</c:v>
                </c:pt>
                <c:pt idx="25">
                  <c:v>240</c:v>
                </c:pt>
                <c:pt idx="26">
                  <c:v>341</c:v>
                </c:pt>
                <c:pt idx="27">
                  <c:v>348</c:v>
                </c:pt>
                <c:pt idx="28">
                  <c:v>327</c:v>
                </c:pt>
                <c:pt idx="29">
                  <c:v>273</c:v>
                </c:pt>
                <c:pt idx="30">
                  <c:v>226</c:v>
                </c:pt>
              </c:numCache>
            </c:numRef>
          </c:xVal>
          <c:yVal>
            <c:numRef>
              <c:f>o!$C$2:$C$32</c:f>
              <c:numCache>
                <c:formatCode>General</c:formatCode>
                <c:ptCount val="31"/>
                <c:pt idx="0">
                  <c:v>1071</c:v>
                </c:pt>
                <c:pt idx="1">
                  <c:v>1097</c:v>
                </c:pt>
                <c:pt idx="2">
                  <c:v>1185</c:v>
                </c:pt>
                <c:pt idx="3">
                  <c:v>1268</c:v>
                </c:pt>
                <c:pt idx="4">
                  <c:v>697</c:v>
                </c:pt>
                <c:pt idx="5">
                  <c:v>689</c:v>
                </c:pt>
                <c:pt idx="6">
                  <c:v>686</c:v>
                </c:pt>
                <c:pt idx="7">
                  <c:v>682</c:v>
                </c:pt>
                <c:pt idx="8">
                  <c:v>666</c:v>
                </c:pt>
                <c:pt idx="9">
                  <c:v>645</c:v>
                </c:pt>
                <c:pt idx="10">
                  <c:v>638</c:v>
                </c:pt>
                <c:pt idx="11">
                  <c:v>646</c:v>
                </c:pt>
                <c:pt idx="12">
                  <c:v>988</c:v>
                </c:pt>
                <c:pt idx="13">
                  <c:v>983</c:v>
                </c:pt>
                <c:pt idx="14">
                  <c:v>975</c:v>
                </c:pt>
                <c:pt idx="15">
                  <c:v>971</c:v>
                </c:pt>
                <c:pt idx="16">
                  <c:v>966</c:v>
                </c:pt>
                <c:pt idx="17">
                  <c:v>959</c:v>
                </c:pt>
                <c:pt idx="18">
                  <c:v>954</c:v>
                </c:pt>
                <c:pt idx="19">
                  <c:v>953</c:v>
                </c:pt>
                <c:pt idx="20">
                  <c:v>954</c:v>
                </c:pt>
                <c:pt idx="21">
                  <c:v>954</c:v>
                </c:pt>
                <c:pt idx="22">
                  <c:v>953</c:v>
                </c:pt>
                <c:pt idx="23">
                  <c:v>949</c:v>
                </c:pt>
                <c:pt idx="24">
                  <c:v>941</c:v>
                </c:pt>
                <c:pt idx="25">
                  <c:v>929</c:v>
                </c:pt>
                <c:pt idx="26">
                  <c:v>1065</c:v>
                </c:pt>
                <c:pt idx="27">
                  <c:v>1088</c:v>
                </c:pt>
                <c:pt idx="28">
                  <c:v>1111</c:v>
                </c:pt>
                <c:pt idx="29">
                  <c:v>1131</c:v>
                </c:pt>
                <c:pt idx="30">
                  <c:v>1193</c:v>
                </c:pt>
              </c:numCache>
            </c:numRef>
          </c:yVal>
        </c:ser>
        <c:ser>
          <c:idx val="4"/>
          <c:order val="4"/>
          <c:tx>
            <c:v>u</c:v>
          </c:tx>
          <c:spPr>
            <a:ln w="28575">
              <a:noFill/>
            </a:ln>
          </c:spPr>
          <c:marker>
            <c:symbol val="dash"/>
            <c:size val="7"/>
          </c:marker>
          <c:xVal>
            <c:numRef>
              <c:f>u!$B$2:$B$11</c:f>
              <c:numCache>
                <c:formatCode>General</c:formatCode>
                <c:ptCount val="10"/>
                <c:pt idx="0">
                  <c:v>157</c:v>
                </c:pt>
                <c:pt idx="1">
                  <c:v>155</c:v>
                </c:pt>
                <c:pt idx="2">
                  <c:v>123</c:v>
                </c:pt>
                <c:pt idx="3">
                  <c:v>149</c:v>
                </c:pt>
                <c:pt idx="4">
                  <c:v>140</c:v>
                </c:pt>
                <c:pt idx="5">
                  <c:v>122</c:v>
                </c:pt>
                <c:pt idx="6">
                  <c:v>115</c:v>
                </c:pt>
                <c:pt idx="7">
                  <c:v>107</c:v>
                </c:pt>
                <c:pt idx="8">
                  <c:v>100</c:v>
                </c:pt>
                <c:pt idx="9">
                  <c:v>192</c:v>
                </c:pt>
              </c:numCache>
            </c:numRef>
          </c:xVal>
          <c:yVal>
            <c:numRef>
              <c:f>u!$C$2:$C$11</c:f>
              <c:numCache>
                <c:formatCode>General</c:formatCode>
                <c:ptCount val="10"/>
                <c:pt idx="0">
                  <c:v>653</c:v>
                </c:pt>
                <c:pt idx="1">
                  <c:v>686</c:v>
                </c:pt>
                <c:pt idx="2">
                  <c:v>714</c:v>
                </c:pt>
                <c:pt idx="3">
                  <c:v>716</c:v>
                </c:pt>
                <c:pt idx="4">
                  <c:v>762</c:v>
                </c:pt>
                <c:pt idx="5">
                  <c:v>526</c:v>
                </c:pt>
                <c:pt idx="6">
                  <c:v>954</c:v>
                </c:pt>
                <c:pt idx="7">
                  <c:v>759</c:v>
                </c:pt>
                <c:pt idx="8">
                  <c:v>665</c:v>
                </c:pt>
                <c:pt idx="9">
                  <c:v>581</c:v>
                </c:pt>
              </c:numCache>
            </c:numRef>
          </c:yVal>
        </c:ser>
        <c:axId val="99614720"/>
        <c:axId val="99616640"/>
      </c:scatterChart>
      <c:valAx>
        <c:axId val="99614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F1</a:t>
                </a:r>
              </a:p>
            </c:rich>
          </c:tx>
        </c:title>
        <c:numFmt formatCode="General" sourceLinked="1"/>
        <c:tickLblPos val="nextTo"/>
        <c:crossAx val="99616640"/>
        <c:crosses val="autoZero"/>
        <c:crossBetween val="midCat"/>
      </c:valAx>
      <c:valAx>
        <c:axId val="996166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F2</a:t>
                </a:r>
              </a:p>
            </c:rich>
          </c:tx>
        </c:title>
        <c:numFmt formatCode="General" sourceLinked="1"/>
        <c:tickLblPos val="nextTo"/>
        <c:crossAx val="99614720"/>
        <c:crosses val="autoZero"/>
        <c:crossBetween val="midCat"/>
      </c:valAx>
    </c:plotArea>
    <c:legend>
      <c:legendPos val="r"/>
    </c:legend>
    <c:plotVisOnly val="1"/>
  </c:chart>
  <c:spPr>
    <a:ln w="12700">
      <a:solidFill>
        <a:schemeClr val="tx1"/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CBE0E-4A87-4F45-85A8-F51F327E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448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3132</CharactersWithSpaces>
  <SharedDoc>false</SharedDoc>
  <HLinks>
    <vt:vector size="6" baseType="variant">
      <vt:variant>
        <vt:i4>6946874</vt:i4>
      </vt:variant>
      <vt:variant>
        <vt:i4>3034</vt:i4>
      </vt:variant>
      <vt:variant>
        <vt:i4>1025</vt:i4>
      </vt:variant>
      <vt:variant>
        <vt:i4>1</vt:i4>
      </vt:variant>
      <vt:variant>
        <vt:lpwstr>wykres.bmp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Ogrodowska</dc:creator>
  <cp:keywords/>
  <cp:lastModifiedBy>Marcin Mikołajczak</cp:lastModifiedBy>
  <cp:revision>23</cp:revision>
  <dcterms:created xsi:type="dcterms:W3CDTF">2008-01-23T12:59:00Z</dcterms:created>
  <dcterms:modified xsi:type="dcterms:W3CDTF">2008-01-23T20:55:00Z</dcterms:modified>
</cp:coreProperties>
</file>