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E75B6"/>
          <w:sz w:val="44"/>
          <w:szCs w:val="44"/>
        </w:rPr>
        <w:t xml:space="preserve">SSM Model Comparison Report</w:t>
      </w:r>
    </w:p>
    <w:p>
      <w:pPr>
        <w:spacing w:after="40"/>
      </w:pPr>
      <w:r>
        <w:rPr>
          <w:rFonts w:ascii="Arial" w:cs="Arial" w:eastAsia="Arial" w:hAnsi="Arial"/>
          <w:color w:val="666666"/>
          <w:sz w:val="26"/>
          <w:szCs w:val="26"/>
        </w:rPr>
        <w:t xml:space="preserve">NAF Blood Bowl Rating System</w:t>
      </w:r>
    </w:p>
    <w:p>
      <w:pPr>
        <w:pBdr>
          <w:bottom w:val="single" w:color="2E75B6" w:sz="6" w:space="1"/>
        </w:pBdr>
        <w:spacing w:after="300"/>
      </w:pPr>
      <w:r>
        <w:rPr>
          <w:rFonts w:ascii="Arial" w:cs="Arial" w:eastAsia="Arial" w:hAnsi="Arial"/>
          <w:color w:val="999999"/>
          <w:sz w:val="22"/>
          <w:szCs w:val="22"/>
        </w:rPr>
        <w:t xml:space="preserve">March 2026</w:t>
      </w:r>
    </w:p>
    <w:p>
      <w:pPr>
        <w:pStyle w:val="Heading1"/>
      </w:pPr>
      <w:r>
        <w:rPr>
          <w:rFonts w:ascii="Arial" w:cs="Arial" w:eastAsia="Arial" w:hAnsi="Arial"/>
        </w:rPr>
        <w:t xml:space="preserve">Executive Summary</w:t>
      </w:r>
    </w:p>
    <w:p>
      <w:pPr>
        <w:spacing w:after="120"/>
      </w:pPr>
      <w:r>
        <w:rPr>
          <w:rFonts w:ascii="Arial" w:cs="Arial" w:eastAsia="Arial" w:hAnsi="Arial"/>
          <w:b w:val="false"/>
          <w:bCs w:val="false"/>
          <w:i w:val="false"/>
          <w:iCs w:val="false"/>
          <w:sz w:val="22"/>
          <w:szCs w:val="22"/>
        </w:rPr>
        <w:t xml:space="preserve">This report compares six predictive models for Blood Bowl game outcomes, evaluated on the last 12 months of NAF tournament data. The models range from a simple Elo baseline to state-space models (SSM) with uncertainty-aware predictions. The central question is whether modelling uncertainty in player ratings improves prediction quality, and whether the added complexity of SSM v2 (time-awareness and adaptive volatility) is justified over the simpler SSM v1.</w:t>
      </w:r>
    </w:p>
    <w:p>
      <w:pPr>
        <w:spacing w:after="120"/>
      </w:pPr>
      <w:r>
        <w:rPr>
          <w:rFonts w:ascii="Arial" w:cs="Arial" w:eastAsia="Arial" w:hAnsi="Arial"/>
          <w:b w:val="false"/>
          <w:bCs w:val="false"/>
          <w:i w:val="false"/>
          <w:iCs w:val="false"/>
          <w:sz w:val="22"/>
          <w:szCs w:val="22"/>
        </w:rPr>
        <w:t xml:space="preserve">The key innovation tested is uncertainty-aware (UA) predictions: instead of ignoring the model’s uncertainty about each player’s skill when making predictions, UA predictions integrate over the uncertainty using a probit approximation. This shrinks predictions toward 0.5 when the model is uncertain about one or both players, producing more honest probability estimates.</w:t>
      </w:r>
    </w:p>
    <w:p>
      <w:pPr>
        <w:pStyle w:val="Heading1"/>
      </w:pPr>
      <w:r>
        <w:rPr>
          <w:rFonts w:ascii="Arial" w:cs="Arial" w:eastAsia="Arial" w:hAnsi="Arial"/>
        </w:rPr>
        <w:t xml:space="preserve">Background</w:t>
      </w:r>
    </w:p>
    <w:p>
      <w:pPr>
        <w:pStyle w:val="Heading2"/>
      </w:pPr>
      <w:r>
        <w:rPr>
          <w:rFonts w:ascii="Arial" w:cs="Arial" w:eastAsia="Arial" w:hAnsi="Arial"/>
        </w:rPr>
        <w:t xml:space="preserve">Rating Systems</w:t>
      </w:r>
    </w:p>
    <w:p>
      <w:pPr>
        <w:spacing w:after="120"/>
      </w:pPr>
      <w:r>
        <w:rPr>
          <w:rFonts w:ascii="Arial" w:cs="Arial" w:eastAsia="Arial" w:hAnsi="Arial"/>
          <w:b w:val="false"/>
          <w:bCs w:val="false"/>
          <w:i w:val="false"/>
          <w:iCs w:val="false"/>
          <w:sz w:val="22"/>
          <w:szCs w:val="22"/>
        </w:rPr>
        <w:t xml:space="preserve">Elo is the standard rating system for competitive games: a point estimate of skill, updated after each game using a fixed formula. It has no concept of uncertainty — a player with 10 games and a player with 500 games are treated identically if they have the same rating.</w:t>
      </w:r>
    </w:p>
    <w:p>
      <w:pPr>
        <w:spacing w:after="120"/>
      </w:pPr>
      <w:r>
        <w:rPr>
          <w:rFonts w:ascii="Arial" w:cs="Arial" w:eastAsia="Arial" w:hAnsi="Arial"/>
          <w:b w:val="false"/>
          <w:bCs w:val="false"/>
          <w:i w:val="false"/>
          <w:iCs w:val="false"/>
          <w:sz w:val="22"/>
          <w:szCs w:val="22"/>
        </w:rPr>
        <w:t xml:space="preserve">State-space models (SSMs) extend this by tracking both a skill estimate (μ) and an uncertainty (σ) for each player. The Extended Kalman Filter (EKF) provides a principled framework for updating these as games are observed. The uncertainty should shrink as more data arrives and grow during periods of inactivity.</w:t>
      </w:r>
    </w:p>
    <w:p>
      <w:pPr>
        <w:pStyle w:val="Heading2"/>
      </w:pPr>
      <w:r>
        <w:rPr>
          <w:rFonts w:ascii="Arial" w:cs="Arial" w:eastAsia="Arial" w:hAnsi="Arial"/>
        </w:rPr>
        <w:t xml:space="preserve">SSM v1: Simple Random Walk</w:t>
      </w:r>
    </w:p>
    <w:p>
      <w:pPr>
        <w:spacing w:after="120"/>
      </w:pPr>
      <w:r>
        <w:rPr>
          <w:rFonts w:ascii="Arial" w:cs="Arial" w:eastAsia="Arial" w:hAnsi="Arial"/>
          <w:b w:val="false"/>
          <w:bCs w:val="false"/>
          <w:i w:val="false"/>
          <w:iCs w:val="false"/>
          <w:sz w:val="22"/>
          <w:szCs w:val="22"/>
        </w:rPr>
        <w:t xml:space="preserve">SSM v1 is a game-indexed random walk: every game adds a constant amount of process noise to the variance, regardless of time gaps between games. It has two tunable hyperparameters: observation noise (σ²_obs = 0.02) and process noise (σ²_process = 2.0). The state per coach is (μ, P) where P is the variance. Opponent uncertainty is propagated into the observation equation, making games against poorly-estimated opponents less informative.</w:t>
      </w:r>
    </w:p>
    <w:p>
      <w:pPr>
        <w:pStyle w:val="Heading2"/>
      </w:pPr>
      <w:r>
        <w:rPr>
          <w:rFonts w:ascii="Arial" w:cs="Arial" w:eastAsia="Arial" w:hAnsi="Arial"/>
        </w:rPr>
        <w:t xml:space="preserve">SSM v2: Time-Aware with Adaptive Volatility</w:t>
      </w:r>
    </w:p>
    <w:p>
      <w:pPr>
        <w:spacing w:after="120"/>
      </w:pPr>
      <w:r>
        <w:rPr>
          <w:rFonts w:ascii="Arial" w:cs="Arial" w:eastAsia="Arial" w:hAnsi="Arial"/>
          <w:b w:val="false"/>
          <w:bCs w:val="false"/>
          <w:i w:val="false"/>
          <w:iCs w:val="false"/>
          <w:sz w:val="22"/>
          <w:szCs w:val="22"/>
        </w:rPr>
        <w:t xml:space="preserve">SSM v2 adds two mechanisms on top of v1. First, time-aware uncertainty growth: variance increases proportional to the square root of days since the last game, capped at 180 days. A coach inactive for three months accumulates much more uncertainty than one who played last week. Second, adaptive volatility: an EWMA of squared innovations per coach drives additional process noise. Coaches who consistently produce surprising results get wider confidence intervals.</w:t>
      </w:r>
    </w:p>
    <w:p>
      <w:pPr>
        <w:spacing w:after="120"/>
      </w:pPr>
      <w:r>
        <w:rPr>
          <w:rFonts w:ascii="Arial" w:cs="Arial" w:eastAsia="Arial" w:hAnsi="Arial"/>
          <w:b w:val="false"/>
          <w:bCs w:val="false"/>
          <w:i w:val="false"/>
          <w:iCs w:val="false"/>
          <w:sz w:val="22"/>
          <w:szCs w:val="22"/>
        </w:rPr>
        <w:t xml:space="preserve">SSM v2 has four tuned hyperparameters (tuned via grid search on 2026-03-24): σ²_obs = 0.10, q_time = 2.00, q_game = 0.025, v_scale = 24.0. The tuning was weighted 60% toward veteran coaches (301+ games), with decreasing weight for less experienced tiers.</w:t>
      </w:r>
    </w:p>
    <w:p>
      <w:pPr>
        <w:pStyle w:val="Heading2"/>
      </w:pPr>
      <w:r>
        <w:rPr>
          <w:rFonts w:ascii="Arial" w:cs="Arial" w:eastAsia="Arial" w:hAnsi="Arial"/>
        </w:rPr>
        <w:t xml:space="preserve">The Calibration Problem</w:t>
      </w:r>
    </w:p>
    <w:p>
      <w:pPr>
        <w:spacing w:after="120"/>
      </w:pPr>
      <w:r>
        <w:rPr>
          <w:rFonts w:ascii="Arial" w:cs="Arial" w:eastAsia="Arial" w:hAnsi="Arial"/>
          <w:b w:val="false"/>
          <w:bCs w:val="false"/>
          <w:i w:val="false"/>
          <w:iCs w:val="false"/>
          <w:sz w:val="22"/>
          <w:szCs w:val="22"/>
        </w:rPr>
        <w:t xml:space="preserve">Prior evaluation revealed that SSM v2 was systematically overconfident: its predicted probabilities were too extreme compared to observed outcome rates. The calibration plots showed predictions pushed too far from 0.5, particularly visible in the 0.6–0.9 prediction range where actual win rates fell below the diagonal. Meanwhile, Elo was well-calibrated.</w:t>
      </w:r>
    </w:p>
    <w:p>
      <w:pPr>
        <w:spacing w:after="120"/>
      </w:pPr>
      <w:r>
        <w:rPr>
          <w:rFonts w:ascii="Arial" w:cs="Arial" w:eastAsia="Arial" w:hAnsi="Arial"/>
          <w:b w:val="false"/>
          <w:bCs w:val="false"/>
          <w:i w:val="false"/>
          <w:iCs w:val="false"/>
          <w:sz w:val="22"/>
          <w:szCs w:val="22"/>
        </w:rPr>
        <w:t xml:space="preserve">The root cause: both SSM v1 and v2 computed score_expected = logistic(Δμ), throwing away the uncertainty (σ) entirely at prediction time. The model tracked uncertainty through the EKF but never used it to temper its predictions.</w:t>
      </w:r>
    </w:p>
    <w:p>
      <w:pPr>
        <w:pStyle w:val="Heading1"/>
      </w:pPr>
      <w:r>
        <w:rPr>
          <w:rFonts w:ascii="Arial" w:cs="Arial" w:eastAsia="Arial" w:hAnsi="Arial"/>
        </w:rPr>
        <w:t xml:space="preserve">Methodology</w:t>
      </w:r>
    </w:p>
    <w:p>
      <w:pPr>
        <w:pStyle w:val="Heading2"/>
      </w:pPr>
      <w:r>
        <w:rPr>
          <w:rFonts w:ascii="Arial" w:cs="Arial" w:eastAsia="Arial" w:hAnsi="Arial"/>
        </w:rPr>
        <w:t xml:space="preserve">Uncertainty-Aware Predictions</w:t>
      </w:r>
    </w:p>
    <w:p>
      <w:pPr>
        <w:spacing w:after="120"/>
      </w:pPr>
      <w:r>
        <w:rPr>
          <w:rFonts w:ascii="Arial" w:cs="Arial" w:eastAsia="Arial" w:hAnsi="Arial"/>
          <w:b w:val="false"/>
          <w:bCs w:val="false"/>
          <w:i w:val="false"/>
          <w:iCs w:val="false"/>
          <w:sz w:val="22"/>
          <w:szCs w:val="22"/>
        </w:rPr>
        <w:t xml:space="preserve">The UA (uncertainty-aware) variant replaces the standard logistic prediction with one that integrates over both players’ rating uncertainty using the probit approximation:</w:t>
      </w:r>
    </w:p>
    <w:p>
      <w:pPr>
        <w:spacing w:after="120" w:before="120"/>
        <w:jc w:val="center"/>
      </w:pPr>
      <w:r>
        <w:rPr>
          <w:rFonts w:ascii="Consolas" w:cs="Consolas" w:eastAsia="Consolas" w:hAnsi="Consolas"/>
          <w:i/>
          <w:iCs/>
          <w:sz w:val="20"/>
          <w:szCs w:val="20"/>
        </w:rPr>
        <w:t xml:space="preserve">S_eff = S × √(1 + π/8 × (ln10/S)² × (σ²_self + σ²_opp))</w:t>
      </w:r>
    </w:p>
    <w:p>
      <w:pPr>
        <w:spacing w:after="120"/>
      </w:pPr>
      <w:r>
        <w:rPr>
          <w:rFonts w:ascii="Arial" w:cs="Arial" w:eastAsia="Arial" w:hAnsi="Arial"/>
          <w:b w:val="false"/>
          <w:bCs w:val="false"/>
          <w:i w:val="false"/>
          <w:iCs w:val="false"/>
          <w:sz w:val="22"/>
          <w:szCs w:val="22"/>
        </w:rPr>
        <w:t xml:space="preserve">When combined uncertainty is large, S_eff increases, shrinking predictions toward 0.5. When uncertainty is small, S_eff approximates S, preserving the original prediction. This is a well-known result from Bayesian logistic regression and requires no additional tuning — it is computed post-hoc from the stored σ values.</w:t>
      </w:r>
    </w:p>
    <w:p>
      <w:pPr>
        <w:pStyle w:val="Heading2"/>
      </w:pPr>
      <w:r>
        <w:rPr>
          <w:rFonts w:ascii="Arial" w:cs="Arial" w:eastAsia="Arial" w:hAnsi="Arial"/>
        </w:rPr>
        <w:t xml:space="preserve">Evaluation Design</w:t>
      </w:r>
    </w:p>
    <w:p>
      <w:pPr>
        <w:spacing w:after="120"/>
      </w:pPr>
      <w:r>
        <w:rPr>
          <w:rFonts w:ascii="Arial" w:cs="Arial" w:eastAsia="Arial" w:hAnsi="Arial"/>
          <w:b w:val="false"/>
          <w:bCs w:val="false"/>
          <w:i w:val="false"/>
          <w:iCs w:val="false"/>
          <w:sz w:val="22"/>
          <w:szCs w:val="22"/>
        </w:rPr>
        <w:t xml:space="preserve">Test window: last 12 months of games by date_id. All systems were trained on all prior games when making each prediction (no separate train/test split — this is the realistic use case where we predict the next game given all history).</w:t>
      </w:r>
    </w:p>
    <w:p>
      <w:pPr>
        <w:spacing w:after="120"/>
      </w:pPr>
      <w:r>
        <w:rPr>
          <w:rFonts w:ascii="Arial" w:cs="Arial" w:eastAsia="Arial" w:hAnsi="Arial"/>
          <w:b w:val="false"/>
          <w:bCs w:val="false"/>
          <w:i w:val="false"/>
          <w:iCs w:val="false"/>
          <w:sz w:val="22"/>
          <w:szCs w:val="22"/>
        </w:rPr>
        <w:t xml:space="preserve">Metrics: log-loss (penalises confident wrong predictions), Brier score (mean squared prediction error), and accuracy (fraction of decisive games where the predicted favourite won, excluding draws).</w:t>
      </w:r>
    </w:p>
    <w:p>
      <w:pPr>
        <w:spacing w:after="120"/>
      </w:pPr>
      <w:r>
        <w:rPr>
          <w:rFonts w:ascii="Arial" w:cs="Arial" w:eastAsia="Arial" w:hAnsi="Arial"/>
          <w:b w:val="false"/>
          <w:bCs w:val="false"/>
          <w:i w:val="false"/>
          <w:iCs w:val="false"/>
          <w:sz w:val="22"/>
          <w:szCs w:val="22"/>
        </w:rPr>
        <w:t xml:space="preserve">Evaluation is fully unweighted: every observation counts equally, regardless of coach experience tier. This contrasts with the tuning, which was weighted 60% toward veterans.</w:t>
      </w:r>
    </w:p>
    <w:p>
      <w:pPr>
        <w:spacing w:after="120"/>
      </w:pPr>
      <w:r>
        <w:rPr>
          <w:rFonts w:ascii="Arial" w:cs="Arial" w:eastAsia="Arial" w:hAnsi="Arial"/>
          <w:b w:val="false"/>
          <w:bCs w:val="false"/>
          <w:i w:val="false"/>
          <w:iCs w:val="false"/>
          <w:sz w:val="22"/>
          <w:szCs w:val="22"/>
        </w:rPr>
        <w:t xml:space="preserve">An in-sample vs out-of-sample check splits coaches by whether they had 301+ games before the test window (the population the tuner optimised for) to test whether improvements generalise.</w:t>
      </w:r>
    </w:p>
    <w:p>
      <w:pPr>
        <w:pStyle w:val="Heading2"/>
      </w:pPr>
      <w:r>
        <w:rPr>
          <w:rFonts w:ascii="Arial" w:cs="Arial" w:eastAsia="Arial" w:hAnsi="Arial"/>
        </w:rPr>
        <w:t xml:space="preserve">Models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300"/>
        <w:gridCol w:w="1300"/>
        <w:gridCol w:w="1300"/>
        <w:gridCol w:w="1300"/>
        <w:gridCol w:w="1260"/>
      </w:tblGrid>
      <w:tr>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Model</w:t>
            </w:r>
          </w:p>
        </w:tc>
        <w:tc>
          <w:tcPr>
            <w:tcW w:type="dxa" w:w="13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Prediction</w:t>
            </w:r>
          </w:p>
        </w:tc>
        <w:tc>
          <w:tcPr>
            <w:tcW w:type="dxa" w:w="13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Log-loss</w:t>
            </w:r>
          </w:p>
        </w:tc>
        <w:tc>
          <w:tcPr>
            <w:tcW w:type="dxa" w:w="13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Brier</w:t>
            </w:r>
          </w:p>
        </w:tc>
        <w:tc>
          <w:tcPr>
            <w:tcW w:type="dxa" w:w="13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Accuracy</w:t>
            </w:r>
          </w:p>
        </w:tc>
        <w:tc>
          <w:tcPr>
            <w:tcW w:type="dxa" w:w="13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ΔLL vs Elo</w:t>
            </w:r>
          </w:p>
        </w:tc>
        <w:tc>
          <w:tcPr>
            <w:tcW w:type="dxa" w:w="12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ΔBr vs Elo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Elo</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Baseline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0.62983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0.15956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0.687</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SSM v1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logistic(Δμ)</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TBD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TBD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TBD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TBD</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TBD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SSM v1-UA</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UA probit</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TBD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TBD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TBD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TBD</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TBD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SSM v2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logistic(Δμ)</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0.62857</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0.15905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0.689</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+0.00125</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+0.00051</w:t>
            </w:r>
          </w:p>
        </w:tc>
      </w:tr>
      <w:tr>
        <w:tc>
          <w:tcPr>
            <w:tcW w:type="dxa" w:w="160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tcPr>
          <w:p>
            <w:pPr>
              <w:jc w:val="left"/>
            </w:pPr>
            <w:r>
              <w:rPr>
                <w:rFonts w:ascii="Arial" w:cs="Arial" w:eastAsia="Arial" w:hAnsi="Arial"/>
                <w:b/>
                <w:bCs/>
                <w:sz w:val="18"/>
                <w:szCs w:val="18"/>
              </w:rPr>
              <w:t xml:space="preserve">SSM v2-UA</w:t>
            </w:r>
          </w:p>
        </w:tc>
        <w:tc>
          <w:tcPr>
            <w:tcW w:type="dxa" w:w="130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UA probit</w:t>
            </w:r>
          </w:p>
        </w:tc>
        <w:tc>
          <w:tcPr>
            <w:tcW w:type="dxa" w:w="130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TBD</w:t>
            </w:r>
          </w:p>
        </w:tc>
        <w:tc>
          <w:tcPr>
            <w:tcW w:type="dxa" w:w="130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TBD</w:t>
            </w:r>
          </w:p>
        </w:tc>
        <w:tc>
          <w:tcPr>
            <w:tcW w:type="dxa" w:w="130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TBD</w:t>
            </w:r>
          </w:p>
        </w:tc>
        <w:tc>
          <w:tcPr>
            <w:tcW w:type="dxa" w:w="130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TBD</w:t>
            </w:r>
          </w:p>
        </w:tc>
        <w:tc>
          <w:tcPr>
            <w:tcW w:type="dxa" w:w="126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TBD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Naive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p=0.5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0.69315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0.18948</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0.000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-0.06332</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-0.02992</w:t>
            </w:r>
          </w:p>
        </w:tc>
      </w:tr>
    </w:tbl>
    <w:p>
      <w:pPr>
        <w:spacing w:after="200" w:before="80"/>
      </w:pPr>
      <w:r>
        <w:rPr>
          <w:rFonts w:ascii="Arial" w:cs="Arial" w:eastAsia="Arial" w:hAnsi="Arial"/>
          <w:i/>
          <w:iCs/>
          <w:color w:val="666666"/>
          <w:sz w:val="18"/>
          <w:szCs w:val="18"/>
        </w:rPr>
        <w:t xml:space="preserve">Table 1: Model comparison on test set. TBD values will be populated when the evaluation cell is run in Databricks. Positive Δ = better than Elo.</w:t>
      </w:r>
    </w:p>
    <w:p>
      <w:r>
        <w:br w:type="page"/>
      </w:r>
    </w:p>
    <w:p>
      <w:pPr>
        <w:pStyle w:val="Heading1"/>
      </w:pPr>
      <w:r>
        <w:rPr>
          <w:rFonts w:ascii="Arial" w:cs="Arial" w:eastAsia="Arial" w:hAnsi="Arial"/>
        </w:rPr>
        <w:t xml:space="preserve">Expected Findings and Interpretation Guide</w:t>
      </w:r>
    </w:p>
    <w:p>
      <w:pPr>
        <w:pStyle w:val="Heading2"/>
      </w:pPr>
      <w:r>
        <w:rPr>
          <w:rFonts w:ascii="Arial" w:cs="Arial" w:eastAsia="Arial" w:hAnsi="Arial"/>
        </w:rPr>
        <w:t xml:space="preserve">Question 1: Do UA variants improve over their base models?</w:t>
      </w:r>
    </w:p>
    <w:p>
      <w:pPr>
        <w:spacing w:after="120"/>
      </w:pPr>
      <w:r>
        <w:rPr>
          <w:rFonts w:ascii="Arial" w:cs="Arial" w:eastAsia="Arial" w:hAnsi="Arial"/>
          <w:b w:val="false"/>
          <w:bCs w:val="false"/>
          <w:i w:val="false"/>
          <w:iCs w:val="false"/>
          <w:sz w:val="22"/>
          <w:szCs w:val="22"/>
        </w:rPr>
        <w:t xml:space="preserve">If UA predictions improve log-loss and Brier over the base SSM models, it confirms that the overconfidence we observed in the calibration plots is correctable by using σ at prediction time. The calibration plots for SSM v2-UA should show bars closer to the diagonal than SSM v2, particularly in the 0.6–0.9 range.</w:t>
      </w:r>
    </w:p>
    <w:p>
      <w:pPr>
        <w:pStyle w:val="Heading2"/>
      </w:pPr>
      <w:r>
        <w:rPr>
          <w:rFonts w:ascii="Arial" w:cs="Arial" w:eastAsia="Arial" w:hAnsi="Arial"/>
        </w:rPr>
        <w:t xml:space="preserve">Question 2: Is SSM v2’s complexity justified?</w:t>
      </w:r>
    </w:p>
    <w:p>
      <w:pPr>
        <w:spacing w:after="120"/>
      </w:pPr>
      <w:r>
        <w:rPr>
          <w:rFonts w:ascii="Arial" w:cs="Arial" w:eastAsia="Arial" w:hAnsi="Arial"/>
          <w:b w:val="false"/>
          <w:bCs w:val="false"/>
          <w:i w:val="false"/>
          <w:iCs w:val="false"/>
          <w:sz w:val="22"/>
          <w:szCs w:val="22"/>
        </w:rPr>
        <w:t xml:space="preserve">Compare SSM v1-UA vs SSM v2-UA. If v1-UA performs comparably, then SSM v2’s time-awareness and adaptive volatility aren’t contributing meaningful signal — the main value was always in using σ for predictions, which neither model previously did. If v2-UA clearly wins, the extra machinery produces σ values that better reflect actual prediction difficulty.</w:t>
      </w:r>
    </w:p>
    <w:p>
      <w:pPr>
        <w:pStyle w:val="Heading2"/>
      </w:pPr>
      <w:r>
        <w:rPr>
          <w:rFonts w:ascii="Arial" w:cs="Arial" w:eastAsia="Arial" w:hAnsi="Arial"/>
        </w:rPr>
        <w:t xml:space="preserve">Question 3: Does improvement generalise?</w:t>
      </w:r>
    </w:p>
    <w:p>
      <w:pPr>
        <w:spacing w:after="120"/>
      </w:pPr>
      <w:r>
        <w:rPr>
          <w:rFonts w:ascii="Arial" w:cs="Arial" w:eastAsia="Arial" w:hAnsi="Arial"/>
          <w:b w:val="false"/>
          <w:bCs w:val="false"/>
          <w:i w:val="false"/>
          <w:iCs w:val="false"/>
          <w:sz w:val="22"/>
          <w:szCs w:val="22"/>
        </w:rPr>
        <w:t xml:space="preserve">The tuner was weighted 60% toward veteran coaches (301+). If the UA improvement only appears for that population in the in-sample/out-of-sample check, we may be seeing the effect of fitted hyperparameters rather than a genuine model advantage. If improvement appears across both populations, the model generalises.</w:t>
      </w:r>
    </w:p>
    <w:p>
      <w:pPr>
        <w:pStyle w:val="Heading2"/>
      </w:pPr>
      <w:r>
        <w:rPr>
          <w:rFonts w:ascii="Arial" w:cs="Arial" w:eastAsia="Arial" w:hAnsi="Arial"/>
        </w:rPr>
        <w:t xml:space="preserve">Question 4: The σ constancy concern</w:t>
      </w:r>
    </w:p>
    <w:p>
      <w:pPr>
        <w:spacing w:after="120"/>
      </w:pPr>
      <w:r>
        <w:rPr>
          <w:rFonts w:ascii="Arial" w:cs="Arial" w:eastAsia="Arial" w:hAnsi="Arial"/>
          <w:b w:val="false"/>
          <w:bCs w:val="false"/>
          <w:i w:val="false"/>
          <w:iCs w:val="false"/>
          <w:sz w:val="22"/>
          <w:szCs w:val="22"/>
        </w:rPr>
        <w:t xml:space="preserve">A prior finding noted that SSM v2’s σ is “basically constant” for active coaches. The σ_combined statistics printed by the evaluation cell will reveal whether v1 and v2 produce meaningfully different σ distributions. If v1’s σ varies more than v2’s (or vice versa), that tells us which model’s uncertainty estimates are more informative for predictions.</w:t>
      </w:r>
    </w:p>
    <w:p>
      <w:pPr>
        <w:pStyle w:val="Heading1"/>
      </w:pPr>
      <w:r>
        <w:rPr>
          <w:rFonts w:ascii="Arial" w:cs="Arial" w:eastAsia="Arial" w:hAnsi="Arial"/>
        </w:rPr>
        <w:t xml:space="preserve">Recommendation Framework</w:t>
      </w:r>
    </w:p>
    <w:p>
      <w:pPr>
        <w:spacing w:after="120"/>
      </w:pPr>
      <w:r>
        <w:rPr>
          <w:rFonts w:ascii="Arial" w:cs="Arial" w:eastAsia="Arial" w:hAnsi="Arial"/>
          <w:b/>
          <w:bCs/>
          <w:i w:val="false"/>
          <w:iCs w:val="false"/>
          <w:sz w:val="22"/>
          <w:szCs w:val="22"/>
        </w:rPr>
        <w:t xml:space="preserve">Based on the evaluation results, the following decision tree applies:</w:t>
      </w:r>
    </w:p>
    <w:p>
      <w:pPr>
        <w:spacing w:after="120"/>
      </w:pPr>
      <w:r>
        <w:rPr>
          <w:rFonts w:ascii="Arial" w:cs="Arial" w:eastAsia="Arial" w:hAnsi="Arial"/>
          <w:b w:val="false"/>
          <w:bCs w:val="false"/>
          <w:i w:val="false"/>
          <w:iCs w:val="false"/>
          <w:sz w:val="22"/>
          <w:szCs w:val="22"/>
        </w:rPr>
        <w:t xml:space="preserve">If SSM v2-UA is the clear winner across all metrics and tiers, keep SSM v2 as the production model, but update score_expected to use the UA formula. SSM v1 becomes redundant and can be retired.</w:t>
      </w:r>
    </w:p>
    <w:p>
      <w:pPr>
        <w:spacing w:after="120"/>
      </w:pPr>
      <w:r>
        <w:rPr>
          <w:rFonts w:ascii="Arial" w:cs="Arial" w:eastAsia="Arial" w:hAnsi="Arial"/>
          <w:b w:val="false"/>
          <w:bCs w:val="false"/>
          <w:i w:val="false"/>
          <w:iCs w:val="false"/>
          <w:sz w:val="22"/>
          <w:szCs w:val="22"/>
        </w:rPr>
        <w:t xml:space="preserve">If SSM v1-UA matches or beats SSM v2-UA, consider retiring SSM v2 in favour of the simpler v1 with UA predictions. The reduced complexity (2 vs 4 hyperparameters, no time-tracking, no volatility state) is a significant maintenance advantage.</w:t>
      </w:r>
    </w:p>
    <w:p>
      <w:pPr>
        <w:spacing w:after="120"/>
      </w:pPr>
      <w:r>
        <w:rPr>
          <w:rFonts w:ascii="Arial" w:cs="Arial" w:eastAsia="Arial" w:hAnsi="Arial"/>
          <w:b w:val="false"/>
          <w:bCs w:val="false"/>
          <w:i w:val="false"/>
          <w:iCs w:val="false"/>
          <w:sz w:val="22"/>
          <w:szCs w:val="22"/>
        </w:rPr>
        <w:t xml:space="preserve">If neither UA variant meaningfully beats Elo, the SSM models are not adding predictive value and should be treated as diagnostic tools only (uncertainty bands for visualisation) rather than prediction engines.</w:t>
      </w:r>
    </w:p>
    <w:p>
      <w:pPr>
        <w:spacing w:after="120"/>
      </w:pPr>
      <w:r>
        <w:rPr>
          <w:rFonts w:ascii="Arial" w:cs="Arial" w:eastAsia="Arial" w:hAnsi="Arial"/>
          <w:b w:val="false"/>
          <w:bCs w:val="false"/>
          <w:i w:val="false"/>
          <w:iCs w:val="false"/>
          <w:sz w:val="22"/>
          <w:szCs w:val="22"/>
        </w:rPr>
        <w:t xml:space="preserve">Regardless of the predictive comparison, the SSM uncertainty (σ) has value for dashboards and reporting — showing how confident we are in each player’s rating is useful information even if it doesn’t improve win predictions. The question is whether the production pipeline should run the SSM engine for predictions or only for uncertainty visualisation.</w:t>
      </w:r>
    </w:p>
    <w:p>
      <w:r>
        <w:br w:type="page"/>
      </w:r>
    </w:p>
    <w:p>
      <w:pPr>
        <w:pStyle w:val="Heading1"/>
      </w:pPr>
      <w:r>
        <w:rPr>
          <w:rFonts w:ascii="Arial" w:cs="Arial" w:eastAsia="Arial" w:hAnsi="Arial"/>
        </w:rPr>
        <w:t xml:space="preserve">Appendix: Technical Details</w:t>
      </w:r>
    </w:p>
    <w:p>
      <w:pPr>
        <w:pStyle w:val="Heading2"/>
      </w:pPr>
      <w:r>
        <w:rPr>
          <w:rFonts w:ascii="Arial" w:cs="Arial" w:eastAsia="Arial" w:hAnsi="Arial"/>
        </w:rPr>
        <w:t xml:space="preserve">Probit Approximation Derivation</w:t>
      </w:r>
    </w:p>
    <w:p>
      <w:pPr>
        <w:spacing w:after="120"/>
      </w:pPr>
      <w:r>
        <w:rPr>
          <w:rFonts w:ascii="Arial" w:cs="Arial" w:eastAsia="Arial" w:hAnsi="Arial"/>
          <w:b w:val="false"/>
          <w:bCs w:val="false"/>
          <w:i w:val="false"/>
          <w:iCs w:val="false"/>
          <w:sz w:val="22"/>
          <w:szCs w:val="22"/>
        </w:rPr>
        <w:t xml:space="preserve">The prediction is p = E[logistic(Δμ + noise)] where noise ~ N(0, σ²_self + σ²_opp). The logistic function 1/(1+exp(-x)) is well-approximated by the standard normal CDF Φ(x√(π/8)). Replacing the logistic with this proxy, the expectation becomes Φ(Δμ / √(σ²_combined + 8/π)), which is equivalent to a logistic with an inflated scale parameter. Converting back to the Elo-scale base-10 logistic gives the S_eff formula used in this evaluation.</w:t>
      </w:r>
    </w:p>
    <w:p>
      <w:pPr>
        <w:pStyle w:val="Heading2"/>
      </w:pPr>
      <w:r>
        <w:rPr>
          <w:rFonts w:ascii="Arial" w:cs="Arial" w:eastAsia="Arial" w:hAnsi="Arial"/>
        </w:rPr>
        <w:t xml:space="preserve">Hyperparameter Summary</w:t>
      </w:r>
    </w:p>
    <w:p>
      <w:pPr>
        <w:spacing w:after="120"/>
      </w:pPr>
      <w:r>
        <w:rPr>
          <w:rFonts w:ascii="Arial" w:cs="Arial" w:eastAsia="Arial" w:hAnsi="Arial"/>
          <w:b/>
          <w:bCs/>
          <w:i w:val="false"/>
          <w:iCs w:val="false"/>
          <w:sz w:val="22"/>
          <w:szCs w:val="22"/>
        </w:rPr>
        <w:t xml:space="preserve">SSM v1 parameters:</w:t>
      </w:r>
    </w:p>
    <w:p>
      <w:pPr>
        <w:spacing w:after="120"/>
      </w:pPr>
      <w:r>
        <w:rPr>
          <w:rFonts w:ascii="Arial" w:cs="Arial" w:eastAsia="Arial" w:hAnsi="Arial"/>
          <w:b w:val="false"/>
          <w:bCs w:val="false"/>
          <w:i w:val="false"/>
          <w:iCs w:val="false"/>
          <w:sz w:val="22"/>
          <w:szCs w:val="22"/>
        </w:rPr>
        <w:t xml:space="preserve">σ²_obs = 0.02, σ²_process = 2.0, φ = 1.0 (no mean reversion), prior σ = 50</w:t>
      </w:r>
    </w:p>
    <w:p>
      <w:pPr>
        <w:spacing w:after="120"/>
      </w:pPr>
      <w:r>
        <w:rPr>
          <w:rFonts w:ascii="Arial" w:cs="Arial" w:eastAsia="Arial" w:hAnsi="Arial"/>
          <w:b/>
          <w:bCs/>
          <w:i w:val="false"/>
          <w:iCs w:val="false"/>
          <w:sz w:val="22"/>
          <w:szCs w:val="22"/>
        </w:rPr>
        <w:t xml:space="preserve">SSM v2 parameters (tuned 2026-03-24):</w:t>
      </w:r>
    </w:p>
    <w:p>
      <w:pPr>
        <w:spacing w:after="120"/>
      </w:pPr>
      <w:r>
        <w:rPr>
          <w:rFonts w:ascii="Arial" w:cs="Arial" w:eastAsia="Arial" w:hAnsi="Arial"/>
          <w:b w:val="false"/>
          <w:bCs w:val="false"/>
          <w:i w:val="false"/>
          <w:iCs w:val="false"/>
          <w:sz w:val="22"/>
          <w:szCs w:val="22"/>
        </w:rPr>
        <w:t xml:space="preserve">σ²_obs = 0.10, q_time = 2.00, q_game = 0.025, v_scale = 24.0</w:t>
      </w:r>
    </w:p>
    <w:p>
      <w:pPr>
        <w:spacing w:after="120"/>
      </w:pPr>
      <w:r>
        <w:rPr>
          <w:rFonts w:ascii="Arial" w:cs="Arial" w:eastAsia="Arial" w:hAnsi="Arial"/>
          <w:b w:val="false"/>
          <w:bCs w:val="false"/>
          <w:i w:val="false"/>
          <w:iCs w:val="false"/>
          <w:sz w:val="22"/>
          <w:szCs w:val="22"/>
        </w:rPr>
        <w:t xml:space="preserve">Fixed: prior σ = 50, max days = 180, v_decay = 0.90, v_base = 0.25, v_min = 0.0, v_max = 16.0</w:t>
      </w:r>
    </w:p>
    <w:p>
      <w:pPr>
        <w:pStyle w:val="Heading2"/>
      </w:pPr>
      <w:r>
        <w:rPr>
          <w:rFonts w:ascii="Arial" w:cs="Arial" w:eastAsia="Arial" w:hAnsi="Arial"/>
        </w:rPr>
        <w:t xml:space="preserve">Tuning Methodology</w:t>
      </w:r>
    </w:p>
    <w:p>
      <w:pPr>
        <w:spacing w:after="120"/>
      </w:pPr>
      <w:r>
        <w:rPr>
          <w:rFonts w:ascii="Arial" w:cs="Arial" w:eastAsia="Arial" w:hAnsi="Arial"/>
          <w:b w:val="false"/>
          <w:bCs w:val="false"/>
          <w:i w:val="false"/>
          <w:iCs w:val="false"/>
          <w:sz w:val="22"/>
          <w:szCs w:val="22"/>
        </w:rPr>
        <w:t xml:space="preserve">Two-pass grid search: coarse (4⁴ = 256 combinations) followed by fine (3⁴ = 81 combinations) centred on the coarse optimum. Objective: fraction of games where the 50-game rolling median Elo falls inside the SSM ±2σ band, weighted by experience tier (60% veteran, 25% established, 10% developing, 5% burn-in). The rolling median Elo was chosen as the calibration target because raw Elo is too noisy to meaningfully evaluate coverage.</w:t>
      </w:r>
    </w:p>
    <w:p>
      <w:pPr>
        <w:pBdr>
          <w:top w:val="single" w:color="CCCCCC" w:sz="4" w:space="8"/>
        </w:pBdr>
        <w:spacing w:before="400"/>
      </w:pPr>
      <w:r>
        <w:rPr>
          <w:rFonts w:ascii="Arial" w:cs="Arial" w:eastAsia="Arial" w:hAnsi="Arial"/>
          <w:i/>
          <w:iCs/>
          <w:color w:val="999999"/>
          <w:sz w:val="18"/>
          <w:szCs w:val="18"/>
        </w:rPr>
        <w:t xml:space="preserve">Generated by NAF Databricks Project, March 2026. Run the evaluation cell in 321_NAF_gold_fact_ssm.py to populate TBD values with live results.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NAF SSM Model Comparison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2026-03-25T07:30:48.437Z</dcterms:created>
  <dcterms:modified xsi:type="dcterms:W3CDTF">2026-03-25T07:30:48.437Z</dcterms:modified>
</cp:coreProperties>
</file>

<file path=docProps/custom.xml><?xml version="1.0" encoding="utf-8"?>
<Properties xmlns="http://schemas.openxmlformats.org/officeDocument/2006/custom-properties" xmlns:vt="http://schemas.openxmlformats.org/officeDocument/2006/docPropsVTypes"/>
</file>