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40"/>
      </w:pPr>
      <w:r>
        <w:rPr>
          <w:rFonts w:ascii="Aptos Display" w:hAnsi="Aptos Display"/>
          <w:b/>
          <w:color w:val="17324D"/>
          <w:sz w:val="90"/>
        </w:rPr>
        <w:t>TRIPRAFT</w:t>
      </w:r>
    </w:p>
    <w:p>
      <w:pPr>
        <w:spacing w:before="120"/>
      </w:pPr>
      <w:r>
        <w:rPr>
          <w:rFonts w:ascii="Aptos Display" w:hAnsi="Aptos Display"/>
          <w:b/>
          <w:color w:val="163C52"/>
          <w:sz w:val="48"/>
        </w:rPr>
        <w:t>UNIFIED PRODUCT, MARKETPLACE &amp;</w:t>
        <w:br/>
        <w:t>RESELLER IMPLEMENTATION BLUEPRINT</w:t>
      </w:r>
    </w:p>
    <w:p>
      <w:pPr>
        <w:spacing w:before="260"/>
      </w:pPr>
      <w:r>
        <w:rPr>
          <w:rFonts w:ascii="Aptos" w:hAnsi="Aptos"/>
          <w:b w:val="0"/>
          <w:color w:val="456170"/>
          <w:sz w:val="22"/>
        </w:rPr>
        <w:t>Destination discovery  •  Scout/Crew AI  •  Group travel</w:t>
        <w:br/>
        <w:t>Marketplace AND reseller packages  •  Dynamic pricing  •  GST</w:t>
        <w:br/>
        <w:t>Customer checkout  •  Supplier booking/payouts  •  Founder growth</w:t>
      </w:r>
    </w:p>
    <w:p>
      <w:pPr>
        <w:spacing w:before="640"/>
      </w:pPr>
      <w:r>
        <w:rPr>
          <w:b/>
          <w:color w:val="0C7A75"/>
          <w:sz w:val="18"/>
        </w:rPr>
        <w:t>STRATEGIC / PRODUCT / SYSTEM DESIGN</w:t>
      </w:r>
    </w:p>
    <w:p>
      <w:pPr>
        <w:spacing w:before="120"/>
      </w:pPr>
      <w:r>
        <w:rPr>
          <w:rFonts w:ascii="Aptos" w:hAnsi="Aptos"/>
          <w:b w:val="0"/>
          <w:color w:val="64717D"/>
          <w:sz w:val="18"/>
        </w:rPr>
        <w:t>Version 2.0   |   17 October 2026</w:t>
        <w:br/>
        <w:t>Consolidated from prior TripRaft blueprint, commercial discussions, uploaded catalog snapshot and official provider documentation.</w:t>
      </w:r>
    </w:p>
    <w:p>
      <w:pPr>
        <w:spacing w:before="400"/>
      </w:pPr>
    </w:p>
    <w:tbl>
      <w:tblPr>
        <w:tblW w:type="auto" w:w="0"/>
        <w:tblLayout w:type="fixed"/>
        <w:tblLook w:firstColumn="1" w:firstRow="1" w:lastColumn="0" w:lastRow="0" w:noHBand="0" w:noVBand="1" w:val="04A0"/>
      </w:tblPr>
      <w:tblGrid>
        <w:gridCol w:w="9590"/>
      </w:tblGrid>
      <w:tr>
        <w:trPr>
          <w:tblHeader w:val="true"/>
        </w:trPr>
        <w:tc>
          <w:tcPr>
            <w:tcW w:type="dxa" w:w="9663"/>
            <w:shd w:fill="E8F3F1"/>
            <w:tcMar>
              <w:top w:w="155" w:type="dxa"/>
              <w:start w:w="165" w:type="dxa"/>
              <w:bottom w:w="155" w:type="dxa"/>
              <w:end w:w="165" w:type="dxa"/>
            </w:tcMar>
          </w:tcPr>
          <w:p>
            <w:r>
              <w:rPr>
                <w:b/>
                <w:color w:val="17324D"/>
                <w:sz w:val="20"/>
              </w:rPr>
              <w:t>DESIGN PRINCIPLE  •  A destination record is not a booking. Supplier availability and financial truth belong in a separate, auditable transaction system.</w:t>
            </w:r>
          </w:p>
        </w:tc>
      </w:tr>
    </w:tbl>
    <w:p>
      <w:r>
        <w:br w:type="page"/>
      </w:r>
    </w:p>
    <w:p>
      <w:pPr>
        <w:pStyle w:val="Heading1"/>
      </w:pPr>
      <w:r>
        <w:t>AT A GLANCE</w:t>
      </w:r>
    </w:p>
    <w:p>
      <w:r>
        <w:t>This is the unified master document. Parts I-X retain the core product and engineering blueprint. New Parts XI-XIII specify how marketplace and reseller modes coexist in one application, financial rules, launch steps, and hiring gates. Appendices contain checklists and references.</w:t>
      </w:r>
    </w:p>
    <w:p>
      <w:pPr/>
      <w:r>
        <w:rPr>
          <w:b/>
          <w:color w:val="0C7A75"/>
        </w:rPr>
        <w:t xml:space="preserve">PART I   </w:t>
      </w:r>
      <w:r>
        <w:t>Executive direction and business model</w:t>
      </w:r>
    </w:p>
    <w:p>
      <w:pPr/>
      <w:r>
        <w:rPr>
          <w:b/>
          <w:color w:val="0C7A75"/>
        </w:rPr>
        <w:t xml:space="preserve">PART II   </w:t>
      </w:r>
      <w:r>
        <w:t>Current TripRaft baseline and data separation</w:t>
      </w:r>
    </w:p>
    <w:p>
      <w:pPr/>
      <w:r>
        <w:rPr>
          <w:b/>
          <w:color w:val="0C7A75"/>
        </w:rPr>
        <w:t xml:space="preserve">PART III   </w:t>
      </w:r>
      <w:r>
        <w:t>Consumer, group, company and agency feature set</w:t>
      </w:r>
    </w:p>
    <w:p>
      <w:pPr/>
      <w:r>
        <w:rPr>
          <w:b/>
          <w:color w:val="0C7A75"/>
        </w:rPr>
        <w:t xml:space="preserve">PART IV   </w:t>
      </w:r>
      <w:r>
        <w:t>Live availability, inventory and supplier integrations</w:t>
      </w:r>
    </w:p>
    <w:p>
      <w:pPr/>
      <w:r>
        <w:rPr>
          <w:b/>
          <w:color w:val="0C7A75"/>
        </w:rPr>
        <w:t xml:space="preserve">PART V   </w:t>
      </w:r>
      <w:r>
        <w:t>Dynamic pricing, discounts and currency</w:t>
      </w:r>
    </w:p>
    <w:p>
      <w:pPr/>
      <w:r>
        <w:rPr>
          <w:b/>
          <w:color w:val="0C7A75"/>
        </w:rPr>
        <w:t xml:space="preserve">PART VI   </w:t>
      </w:r>
      <w:r>
        <w:t>Booking checkout, payments, payouts and saved cards</w:t>
      </w:r>
    </w:p>
    <w:p>
      <w:pPr/>
      <w:r>
        <w:rPr>
          <w:b/>
          <w:color w:val="0C7A75"/>
        </w:rPr>
        <w:t xml:space="preserve">PART VII   </w:t>
      </w:r>
      <w:r>
        <w:t>Scout/Crew AI and travel intelligence</w:t>
      </w:r>
    </w:p>
    <w:p>
      <w:pPr/>
      <w:r>
        <w:rPr>
          <w:b/>
          <w:color w:val="0C7A75"/>
        </w:rPr>
        <w:t xml:space="preserve">PART VIII   </w:t>
      </w:r>
      <w:r>
        <w:t>Architecture, database, APIs and security</w:t>
      </w:r>
    </w:p>
    <w:p>
      <w:pPr/>
      <w:r>
        <w:rPr>
          <w:b/>
          <w:color w:val="0C7A75"/>
        </w:rPr>
        <w:t xml:space="preserve">PART IX   </w:t>
      </w:r>
      <w:r>
        <w:t>Roadmap, QA, monitoring and launch gates</w:t>
      </w:r>
    </w:p>
    <w:p>
      <w:pPr/>
      <w:r>
        <w:rPr>
          <w:sz w:val="18"/>
        </w:rPr>
        <w:t>PART X   Prioritized backlog and user journeys</w:t>
        <w:br/>
        <w:t>PART XI   Marketplace AND reseller economics, tax-inclusive pricing and supplier agreements</w:t>
        <w:br/>
        <w:t>PART XII   Production build, ledger, operator payments and solo-founder hiring plan</w:t>
        <w:br/>
        <w:t>PART XIII   14-week action plan, acceptance tests and official documentation</w:t>
      </w:r>
    </w:p>
    <w:p>
      <w:pPr/>
      <w:r>
        <w:t>PART XI-XIII   Two business models, accounting, production design, founder growth &amp; launch checklist</w:t>
        <w:br/>
        <w:t>APPENDICES   Domain checklists, security requirements, acceptance criteria and official reference links</w:t>
      </w:r>
    </w:p>
    <w:p>
      <w:pPr>
        <w:spacing w:before="240"/>
      </w:pPr>
      <w:r>
        <w:rPr>
          <w:b/>
          <w:color w:val="17324D"/>
        </w:rPr>
        <w:t xml:space="preserve">SOURCE BASELINE   </w:t>
      </w:r>
      <w:r>
        <w:t>Uploaded catalog snapshot: 190 countries • 3,380 cities • 22,925 places. This snapshot contains no new operational booking/payment ledger.</w:t>
      </w:r>
    </w:p>
    <w:p>
      <w:r>
        <w:br w:type="page"/>
      </w:r>
    </w:p>
    <w:p>
      <w:pPr>
        <w:pStyle w:val="Callout"/>
        <w:widowControl/>
        <w:spacing w:before="140" w:after="180"/>
        <w:ind w:left="259" w:right="173"/>
        <w:shd w:fill="E8F3F1"/>
      </w:pPr>
      <w:r>
        <w:t>PURPOSE. One consolidated, implementation-oriented reference for the consumer app, collaborative trips, organization travel, operator marketplace, approved TripRaft resale offers, seat inventory, dynamic prices, GST-ready quotes, payment verification, supplier settlements, AI planning, financial reporting, and founder hiring gates. Technical and financial samples are proposals, not certification of legal, tax or payment-provider approval.</w:t>
      </w:r>
    </w:p>
    <w:p>
      <w:pPr>
        <w:pStyle w:val="Heading1"/>
      </w:pPr>
      <w:r>
        <w:t>DOCUMENT CONTROL &amp; READING GUIDE</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382"/>
        <w:gridCol w:w="6281"/>
      </w:tblGrid>
      <w:tr>
        <w:trPr>
          <w:tblHeader w:val="true"/>
        </w:trPr>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Label</w:t>
            </w:r>
          </w:p>
        </w:tc>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Meaning</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VERIFIED SNAPSHOT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 xml:space="preserve">Measured directly from the supplied </w:t>
            </w:r>
            <w:r>
              <w:rPr>
                <w:rFonts w:ascii="Consolas" w:hAnsi="Consolas"/>
                <w:b w:val="0"/>
                <w:i w:val="0"/>
                <w:color w:val="0C7A75"/>
                <w:sz w:val="16"/>
              </w:rPr>
              <w:t>tripraft-canonical.db</w:t>
            </w:r>
            <w:r>
              <w:rPr>
                <w:b w:val="0"/>
                <w:i w:val="0"/>
                <w:sz w:val="16"/>
              </w:rPr>
              <w:t xml:space="preserve"> in this task.</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USER-DESCRIBED</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Reported in prior TripRaft discussions, but not independently validated by an application deployment or code review.</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PROPOSED</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Recommended implementation and acceptance criteria, not a statement of current functionality.</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EXTERNAL REFERENCE</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Official provider or regulatory documentation checked for the relevant point; link IDs appear in Appendix D.</w:t>
            </w:r>
          </w:p>
        </w:tc>
      </w:tr>
    </w:tbl>
    <w:p>
      <w:pPr>
        <w:spacing w:after="0"/>
      </w:pPr>
    </w:p>
    <w:p>
      <w:pPr>
        <w:widowControl/>
      </w:pPr>
      <w:r>
        <w:t>Scope: one TripRaft platform supports consumer, group, company, agent and admin experiences. Catalog counts are measured from the uploaded SQLite snapshot; planned app features are not assumed to be implemented. Indian commercial examples use INR and illustrative 5% tour GST / 18% commission GST assumptions only where conditions are met. Legal entity/bank country, merchant-of-record setup, tour classification, eligible input credits, TCS/TDS and agent contracts require independent verification before processing live money.</w:t>
      </w:r>
    </w:p>
    <w:p>
      <w:pPr>
        <w:pStyle w:val="Heading1"/>
      </w:pPr>
      <w:r>
        <w:rPr>
          <w:b w:val="0"/>
          <w:i w:val="0"/>
        </w:rPr>
        <w:t>PART I — EXECUTIVE DIRECTION</w:t>
      </w:r>
    </w:p>
    <w:p>
      <w:pPr>
        <w:pStyle w:val="Heading2"/>
      </w:pPr>
      <w:r>
        <w:rPr>
          <w:b w:val="0"/>
          <w:i w:val="0"/>
        </w:rPr>
        <w:t>1. Executive summary</w:t>
      </w:r>
    </w:p>
    <w:p>
      <w:pPr>
        <w:widowControl/>
      </w:pPr>
      <w:r>
        <w:rPr>
          <w:b w:val="0"/>
          <w:i w:val="0"/>
        </w:rPr>
        <w:t>TripRaft's defensible product is not simply another list of places or a generic OTA checkout. It combines a global destination knowledge catalog; Scout and Crew multi-agent assistance; collaborative itineraries; votes, chats, roles, checklists and expense splitting; company travel workflows; and a supplier marketplace where people can discover, compare, reserve, pay for and manage travel products. The same journey should continue from trip idea to decision, booking, travel and reconciliation.</w:t>
      </w:r>
    </w:p>
    <w:p>
      <w:pPr>
        <w:widowControl/>
      </w:pPr>
      <w:r>
        <w:rPr>
          <w:b/>
          <w:i w:val="0"/>
        </w:rPr>
        <w:t>Core strategy:</w:t>
      </w:r>
      <w:r>
        <w:rPr>
          <w:b w:val="0"/>
          <w:i w:val="0"/>
        </w:rPr>
        <w:t xml:space="preserve"> build one modular platform and one trusted booking ledger. Allow providers to manage inventory through a partner dashboard, connect by API when available, or route bookings to third-party providers under commercial agreements. Never label an unsynchronized offline operator's seats as guaranteed live availability. Keep itinerary suggestions separate from confirmed supplier inventory.</w:t>
      </w:r>
    </w:p>
    <w:p>
      <w:pPr>
        <w:widowControl/>
      </w:pPr>
      <w:r>
        <w:rPr>
          <w:b/>
          <w:i w:val="0"/>
        </w:rPr>
        <w:t>Suggested initial launch:</w:t>
      </w:r>
      <w:r>
        <w:rPr>
          <w:b w:val="0"/>
          <w:i w:val="0"/>
        </w:rPr>
        <w:t xml:space="preserve"> (1) protect and serve the existing catalog, (2) ship traveler and group workspaces, (3) onboard vetted local agents into a partner portal, (4) offer package departures with instant-confirm or request-to-book, (5) add verified payments and supplier settlement, and (6) add demand-based pricing only after accurate seat availability and price acceptance are reliable.</w:t>
      </w:r>
    </w:p>
    <w:p>
      <w:pPr>
        <w:pStyle w:val="Heading2"/>
      </w:pPr>
      <w:r>
        <w:rPr>
          <w:b w:val="0"/>
          <w:i w:val="0"/>
        </w:rPr>
        <w:t>2. Business model and operating principles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Revenue stream</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Mechanism</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Launch suitability</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Negotiated net rate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Operator receives agreed rate; TripRaft retains difference from selling price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Strong for curated tours where resale pricing is permitted</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Commission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Agent sets consumer price; TripRaft earns agreed percentage / fixed fee on eligible bookings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Strong for broad supplier onboarding</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Affiliate referral</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Another travel platform handles checkout; TripRaft earns qualified referral commission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Useful while direct payments mature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Supplier subscription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Premium inventory tools, advanced reports, customer-management features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Later, after proving booking value</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Sponsored placement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Clearly labeled advertising in discovery</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Later, with transparent ranking rules</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Consumer service fees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Disclosed fee where contract and law permit</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Test carefully; may reduce conversion</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Enterprise SaaS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Company travel policies, approvals, budgets and team controls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Later B2B revenue line</w:t>
            </w:r>
          </w:p>
        </w:tc>
      </w:tr>
    </w:tbl>
    <w:p>
      <w:pPr>
        <w:spacing w:after="0"/>
      </w:pPr>
    </w:p>
    <w:p>
      <w:pPr>
        <w:widowControl/>
      </w:pPr>
      <w:r>
        <w:rPr>
          <w:b/>
          <w:i w:val="0"/>
        </w:rPr>
        <w:t>Non-negotiables:</w:t>
      </w:r>
      <w:r>
        <w:rPr>
          <w:b w:val="0"/>
          <w:i w:val="0"/>
        </w:rPr>
        <w:t xml:space="preserve"> never invent availability, discounts, reviews or live exchange rates; show a complete customer price before commitment; keep supplier net rates and contract rules auditable; lock confirmed order economics; never mistake payment authorization for bank settlement; and do not store raw card numbers or CVV within TripRaft application tables.</w:t>
      </w:r>
    </w:p>
    <w:p>
      <w:pPr>
        <w:pStyle w:val="Heading2"/>
      </w:pPr>
      <w:r>
        <w:rPr>
          <w:b w:val="0"/>
          <w:i w:val="0"/>
        </w:rPr>
        <w:t>3. Example financial journey: the ₹15,000 offline package</w:t>
      </w:r>
    </w:p>
    <w:p>
      <w:pPr>
        <w:widowControl/>
      </w:pPr>
      <w:r>
        <w:rPr>
          <w:b w:val="0"/>
          <w:i w:val="0"/>
        </w:rPr>
        <w:t xml:space="preserve">A local operator advertises a four-day package offline for ₹15,000 per traveler. Under a negotiated net-rate contract, the operator agrees to be paid ₹13,500 for a qualifying traveler booked through TripRaft. TripRaft may price the eligible departure at ₹14,500 initially, at ₹15,000 during normal demand, or higher as agreed with the supplier. The </w:t>
      </w:r>
      <w:r>
        <w:rPr>
          <w:b/>
          <w:i w:val="0"/>
        </w:rPr>
        <w:t>gross contribution</w:t>
      </w:r>
      <w:r>
        <w:rPr>
          <w:b w:val="0"/>
          <w:i w:val="0"/>
        </w:rPr>
        <w:t xml:space="preserve"> per traveler is selling price minus contracted supplier payout. Net profit additionally subtracts processing charges, support, refunds/chargebacks, promotions paid by TripRaft, applicable taxes and other costs.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092"/>
        <w:gridCol w:w="2126"/>
        <w:gridCol w:w="2126"/>
        <w:gridCol w:w="2319"/>
      </w:tblGrid>
      <w:tr>
        <w:trPr>
          <w:tblHeader w:val="true"/>
        </w:trPr>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Selling price</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Operator contracted payout</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TripRaft gross contribution</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Customer compared with ₹15,000 offline rate</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₹14,500</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₹13,500</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₹1,000</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₹500 lower</w:t>
            </w:r>
          </w:p>
        </w:tc>
      </w:tr>
      <w:tr>
        <w:trPr>
          <w:cantSplit/>
        </w:trPr>
        <w:tc>
          <w:tcPr>
            <w:tcW w:type="dxa" w:w="3092"/>
            <w:vAlign w:val="center"/>
            <w:tcMar>
              <w:top w:w="85" w:type="dxa"/>
              <w:start w:w="95" w:type="dxa"/>
              <w:bottom w:w="85" w:type="dxa"/>
              <w:end w:w="95" w:type="dxa"/>
            </w:tcMar>
            <w:shd w:fill="F3F7FA"/>
          </w:tcPr>
          <w:p>
            <w:pPr>
              <w:pStyle w:val="TableText"/>
              <w:spacing w:after="0"/>
            </w:pPr>
            <w:r>
              <w:rPr>
                <w:sz w:val="15"/>
              </w:rPr>
            </w:r>
            <w:r>
              <w:rPr>
                <w:b w:val="0"/>
                <w:i w:val="0"/>
                <w:sz w:val="15"/>
              </w:rPr>
              <w:t>₹15,000</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₹13,500</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₹1,500</w:t>
            </w:r>
          </w:p>
        </w:tc>
        <w:tc>
          <w:tcPr>
            <w:tcW w:type="dxa" w:w="2319"/>
            <w:vAlign w:val="center"/>
            <w:tcMar>
              <w:top w:w="85" w:type="dxa"/>
              <w:start w:w="95" w:type="dxa"/>
              <w:bottom w:w="85" w:type="dxa"/>
              <w:end w:w="95" w:type="dxa"/>
            </w:tcMar>
            <w:shd w:fill="F3F7FA"/>
          </w:tcPr>
          <w:p>
            <w:pPr>
              <w:pStyle w:val="TableText"/>
              <w:spacing w:after="0"/>
            </w:pPr>
            <w:r>
              <w:rPr>
                <w:sz w:val="15"/>
              </w:rPr>
            </w:r>
            <w:r>
              <w:rPr>
                <w:b w:val="0"/>
                <w:i w:val="0"/>
                <w:sz w:val="15"/>
              </w:rPr>
              <w:t>Same</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₹16,500</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₹13,500</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₹3,000</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₹1,500 higher</w:t>
            </w:r>
          </w:p>
        </w:tc>
      </w:tr>
      <w:tr>
        <w:trPr>
          <w:cantSplit/>
        </w:trPr>
        <w:tc>
          <w:tcPr>
            <w:tcW w:type="dxa" w:w="3092"/>
            <w:vAlign w:val="center"/>
            <w:tcMar>
              <w:top w:w="85" w:type="dxa"/>
              <w:start w:w="95" w:type="dxa"/>
              <w:bottom w:w="85" w:type="dxa"/>
              <w:end w:w="95" w:type="dxa"/>
            </w:tcMar>
            <w:shd w:fill="F3F7FA"/>
          </w:tcPr>
          <w:p>
            <w:pPr>
              <w:pStyle w:val="TableText"/>
              <w:spacing w:after="0"/>
            </w:pPr>
            <w:r>
              <w:rPr>
                <w:sz w:val="15"/>
              </w:rPr>
            </w:r>
            <w:r>
              <w:rPr>
                <w:b w:val="0"/>
                <w:i w:val="0"/>
                <w:sz w:val="15"/>
              </w:rPr>
              <w:t>₹17,500</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₹13,500</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₹4,000</w:t>
            </w:r>
          </w:p>
        </w:tc>
        <w:tc>
          <w:tcPr>
            <w:tcW w:type="dxa" w:w="2319"/>
            <w:vAlign w:val="center"/>
            <w:tcMar>
              <w:top w:w="85" w:type="dxa"/>
              <w:start w:w="95" w:type="dxa"/>
              <w:bottom w:w="85" w:type="dxa"/>
              <w:end w:w="95" w:type="dxa"/>
            </w:tcMar>
            <w:shd w:fill="F3F7FA"/>
          </w:tcPr>
          <w:p>
            <w:pPr>
              <w:pStyle w:val="TableText"/>
              <w:spacing w:after="0"/>
            </w:pPr>
            <w:r>
              <w:rPr>
                <w:sz w:val="15"/>
              </w:rPr>
            </w:r>
            <w:r>
              <w:rPr>
                <w:b w:val="0"/>
                <w:i w:val="0"/>
                <w:sz w:val="15"/>
              </w:rPr>
              <w:t>₹2,500 higher</w:t>
            </w:r>
          </w:p>
        </w:tc>
      </w:tr>
    </w:tbl>
    <w:p>
      <w:pPr>
        <w:spacing w:after="0"/>
      </w:pPr>
    </w:p>
    <w:p>
      <w:pPr>
        <w:widowControl/>
      </w:pPr>
      <w:r>
        <w:rPr>
          <w:b w:val="0"/>
          <w:i w:val="0"/>
        </w:rPr>
        <w:t xml:space="preserve">Higher prices do not imply higher total profit if conversion collapses. A price engine should measure </w:t>
      </w:r>
      <w:r>
        <w:rPr>
          <w:b/>
          <w:i w:val="0"/>
        </w:rPr>
        <w:t>expected contribution = conversion probability × contribution per sale</w:t>
      </w:r>
      <w:r>
        <w:rPr>
          <w:b w:val="0"/>
          <w:i w:val="0"/>
        </w:rPr>
        <w:t>, with capacity, refunds and supplier operational limits. Never imply that a ₹15,000 reference price is a valid discount baseline unless the comparison is genuine and substantiated.</w:t>
      </w:r>
    </w:p>
    <w:p>
      <w:r>
        <w:br w:type="page"/>
      </w:r>
    </w:p>
    <w:p>
      <w:pPr>
        <w:pStyle w:val="Heading1"/>
      </w:pPr>
      <w:r>
        <w:rPr>
          <w:b w:val="0"/>
          <w:i w:val="0"/>
        </w:rPr>
        <w:t>PART II — CURRENT TRIPRAFT BASELINE</w:t>
      </w:r>
    </w:p>
    <w:p>
      <w:pPr>
        <w:pStyle w:val="Heading2"/>
      </w:pPr>
      <w:r>
        <w:rPr>
          <w:b w:val="0"/>
          <w:i w:val="0"/>
        </w:rPr>
        <w:t>4. What is actually in the uploaded catalog</w:t>
      </w:r>
    </w:p>
    <w:p>
      <w:pPr>
        <w:widowControl/>
      </w:pPr>
      <w:r>
        <w:rPr>
          <w:b/>
          <w:i w:val="0"/>
        </w:rPr>
        <w:t>VERIFIED SNAPSHOT:</w:t>
      </w:r>
      <w:r>
        <w:rPr>
          <w:b w:val="0"/>
          <w:i w:val="0"/>
        </w:rPr>
        <w:t xml:space="preserve"> the uploaded </w:t>
      </w:r>
      <w:r>
        <w:rPr>
          <w:rFonts w:ascii="Consolas" w:hAnsi="Consolas"/>
          <w:b w:val="0"/>
          <w:i w:val="0"/>
          <w:color w:val="0C7A75"/>
          <w:sz w:val="16"/>
        </w:rPr>
        <w:t>tripraft-canonical.db</w:t>
      </w:r>
      <w:r>
        <w:rPr>
          <w:b w:val="0"/>
          <w:i w:val="0"/>
        </w:rPr>
        <w:t xml:space="preserve"> contains 37 SQLite tables/views and the following counts at inspection. It is a global content catalog—not a production marketplace ledger.</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Object</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Count</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Notes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Countries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190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Location dimension with currency/country identifiers</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States / administrative divisions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1,739</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Linked to country</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Cities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3,380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Linked to state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Places / POIs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22,925</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Primary destination records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Photos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21,564</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Photo URLs / attribution and license metadata</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Opening-hours rows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22,880</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 populated row is not proof that all weekday hours are known or current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Airports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315</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Codes, coordinates and operating metadata</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Place tags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45,335</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Category associations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Place geocoordinates populated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3,321</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Approximately 14.5% of POIs have latitude values</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Suggested visit durations populated</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11,404</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Approximately 49.7% of places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AI summaries populated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12,667</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Presence does not imply independently verified accuracy</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Official website field populated</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3,435</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Approximately 15.0% of places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Ticket-price rows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Ticket pricing not yet supplied by this snapshot</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Ticket price revision rows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0</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No historical attraction price revisions in this snapshot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Place embeddings rows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No stored embedding vectors in this snapshot</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Search logs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0</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No search usage captured in this snapshot</w:t>
            </w:r>
          </w:p>
        </w:tc>
      </w:tr>
    </w:tbl>
    <w:p>
      <w:pPr>
        <w:spacing w:after="0"/>
      </w:pPr>
    </w:p>
    <w:p>
      <w:pPr>
        <w:widowControl/>
      </w:pPr>
      <w:r>
        <w:rPr>
          <w:b w:val="0"/>
          <w:i w:val="0"/>
        </w:rPr>
        <w:t xml:space="preserve">Relevant existing objects include </w:t>
      </w:r>
      <w:r>
        <w:rPr>
          <w:rFonts w:ascii="Consolas" w:hAnsi="Consolas"/>
          <w:b w:val="0"/>
          <w:i w:val="0"/>
          <w:color w:val="0C7A75"/>
          <w:sz w:val="16"/>
        </w:rPr>
        <w:t>countries</w:t>
      </w:r>
      <w:r>
        <w:rPr>
          <w:b w:val="0"/>
          <w:i w:val="0"/>
        </w:rPr>
        <w:t xml:space="preserve">, </w:t>
      </w:r>
      <w:r>
        <w:rPr>
          <w:rFonts w:ascii="Consolas" w:hAnsi="Consolas"/>
          <w:b w:val="0"/>
          <w:i w:val="0"/>
          <w:color w:val="0C7A75"/>
          <w:sz w:val="16"/>
        </w:rPr>
        <w:t>states</w:t>
      </w:r>
      <w:r>
        <w:rPr>
          <w:b w:val="0"/>
          <w:i w:val="0"/>
        </w:rPr>
        <w:t xml:space="preserve">, </w:t>
      </w:r>
      <w:r>
        <w:rPr>
          <w:rFonts w:ascii="Consolas" w:hAnsi="Consolas"/>
          <w:b w:val="0"/>
          <w:i w:val="0"/>
          <w:color w:val="0C7A75"/>
          <w:sz w:val="16"/>
        </w:rPr>
        <w:t>cities</w:t>
      </w:r>
      <w:r>
        <w:rPr>
          <w:b w:val="0"/>
          <w:i w:val="0"/>
        </w:rPr>
        <w:t xml:space="preserve">, </w:t>
      </w:r>
      <w:r>
        <w:rPr>
          <w:rFonts w:ascii="Consolas" w:hAnsi="Consolas"/>
          <w:b w:val="0"/>
          <w:i w:val="0"/>
          <w:color w:val="0C7A75"/>
          <w:sz w:val="16"/>
        </w:rPr>
        <w:t>places</w:t>
      </w:r>
      <w:r>
        <w:rPr>
          <w:b w:val="0"/>
          <w:i w:val="0"/>
        </w:rPr>
        <w:t xml:space="preserve">, </w:t>
      </w:r>
      <w:r>
        <w:rPr>
          <w:rFonts w:ascii="Consolas" w:hAnsi="Consolas"/>
          <w:b w:val="0"/>
          <w:i w:val="0"/>
          <w:color w:val="0C7A75"/>
          <w:sz w:val="16"/>
        </w:rPr>
        <w:t>airports</w:t>
      </w:r>
      <w:r>
        <w:rPr>
          <w:b w:val="0"/>
          <w:i w:val="0"/>
        </w:rPr>
        <w:t xml:space="preserve">, </w:t>
      </w:r>
      <w:r>
        <w:rPr>
          <w:rFonts w:ascii="Consolas" w:hAnsi="Consolas"/>
          <w:b w:val="0"/>
          <w:i w:val="0"/>
          <w:color w:val="0C7A75"/>
          <w:sz w:val="16"/>
        </w:rPr>
        <w:t>tags</w:t>
      </w:r>
      <w:r>
        <w:rPr>
          <w:b w:val="0"/>
          <w:i w:val="0"/>
        </w:rPr>
        <w:t xml:space="preserve">, </w:t>
      </w:r>
      <w:r>
        <w:rPr>
          <w:rFonts w:ascii="Consolas" w:hAnsi="Consolas"/>
          <w:b w:val="0"/>
          <w:i w:val="0"/>
          <w:color w:val="0C7A75"/>
          <w:sz w:val="16"/>
        </w:rPr>
        <w:t>place_tags</w:t>
      </w:r>
      <w:r>
        <w:rPr>
          <w:b w:val="0"/>
          <w:i w:val="0"/>
        </w:rPr>
        <w:t xml:space="preserve">, </w:t>
      </w:r>
      <w:r>
        <w:rPr>
          <w:rFonts w:ascii="Consolas" w:hAnsi="Consolas"/>
          <w:b w:val="0"/>
          <w:i w:val="0"/>
          <w:color w:val="0C7A75"/>
          <w:sz w:val="16"/>
        </w:rPr>
        <w:t>photos</w:t>
      </w:r>
      <w:r>
        <w:rPr>
          <w:b w:val="0"/>
          <w:i w:val="0"/>
        </w:rPr>
        <w:t xml:space="preserve">, </w:t>
      </w:r>
      <w:r>
        <w:rPr>
          <w:rFonts w:ascii="Consolas" w:hAnsi="Consolas"/>
          <w:b w:val="0"/>
          <w:i w:val="0"/>
          <w:color w:val="0C7A75"/>
          <w:sz w:val="16"/>
        </w:rPr>
        <w:t>photo_attributions</w:t>
      </w:r>
      <w:r>
        <w:rPr>
          <w:b w:val="0"/>
          <w:i w:val="0"/>
        </w:rPr>
        <w:t xml:space="preserve">, </w:t>
      </w:r>
      <w:r>
        <w:rPr>
          <w:rFonts w:ascii="Consolas" w:hAnsi="Consolas"/>
          <w:b w:val="0"/>
          <w:i w:val="0"/>
          <w:color w:val="0C7A75"/>
          <w:sz w:val="16"/>
        </w:rPr>
        <w:t>opening_hours</w:t>
      </w:r>
      <w:r>
        <w:rPr>
          <w:b w:val="0"/>
          <w:i w:val="0"/>
        </w:rPr>
        <w:t xml:space="preserve">, </w:t>
      </w:r>
      <w:r>
        <w:rPr>
          <w:rFonts w:ascii="Consolas" w:hAnsi="Consolas"/>
          <w:b w:val="0"/>
          <w:i w:val="0"/>
          <w:color w:val="0C7A75"/>
          <w:sz w:val="16"/>
        </w:rPr>
        <w:t>data_sources</w:t>
      </w:r>
      <w:r>
        <w:rPr>
          <w:b w:val="0"/>
          <w:i w:val="0"/>
        </w:rPr>
        <w:t xml:space="preserve">, </w:t>
      </w:r>
      <w:r>
        <w:rPr>
          <w:rFonts w:ascii="Consolas" w:hAnsi="Consolas"/>
          <w:b w:val="0"/>
          <w:i w:val="0"/>
          <w:color w:val="0C7A75"/>
          <w:sz w:val="16"/>
        </w:rPr>
        <w:t>field_verifications</w:t>
      </w:r>
      <w:r>
        <w:rPr>
          <w:b w:val="0"/>
          <w:i w:val="0"/>
        </w:rPr>
        <w:t xml:space="preserve">, </w:t>
      </w:r>
      <w:r>
        <w:rPr>
          <w:rFonts w:ascii="Consolas" w:hAnsi="Consolas"/>
          <w:b w:val="0"/>
          <w:i w:val="0"/>
          <w:color w:val="0C7A75"/>
          <w:sz w:val="16"/>
        </w:rPr>
        <w:t>verification_evidence</w:t>
      </w:r>
      <w:r>
        <w:rPr>
          <w:b w:val="0"/>
          <w:i w:val="0"/>
        </w:rPr>
        <w:t xml:space="preserve">, </w:t>
      </w:r>
      <w:r>
        <w:rPr>
          <w:rFonts w:ascii="Consolas" w:hAnsi="Consolas"/>
          <w:b w:val="0"/>
          <w:i w:val="0"/>
          <w:color w:val="0C7A75"/>
          <w:sz w:val="16"/>
        </w:rPr>
        <w:t>unresolved_fields</w:t>
      </w:r>
      <w:r>
        <w:rPr>
          <w:b w:val="0"/>
          <w:i w:val="0"/>
        </w:rPr>
        <w:t xml:space="preserve">, </w:t>
      </w:r>
      <w:r>
        <w:rPr>
          <w:rFonts w:ascii="Consolas" w:hAnsi="Consolas"/>
          <w:b w:val="0"/>
          <w:i w:val="0"/>
          <w:color w:val="0C7A75"/>
          <w:sz w:val="16"/>
        </w:rPr>
        <w:t>provider_references</w:t>
      </w:r>
      <w:r>
        <w:rPr>
          <w:b w:val="0"/>
          <w:i w:val="0"/>
        </w:rPr>
        <w:t xml:space="preserve">, </w:t>
      </w:r>
      <w:r>
        <w:rPr>
          <w:rFonts w:ascii="Consolas" w:hAnsi="Consolas"/>
          <w:b w:val="0"/>
          <w:i w:val="0"/>
          <w:color w:val="0C7A75"/>
          <w:sz w:val="16"/>
        </w:rPr>
        <w:t>batch_registry</w:t>
      </w:r>
      <w:r>
        <w:rPr>
          <w:b w:val="0"/>
          <w:i w:val="0"/>
        </w:rPr>
        <w:t xml:space="preserve"> and </w:t>
      </w:r>
      <w:r>
        <w:rPr>
          <w:rFonts w:ascii="Consolas" w:hAnsi="Consolas"/>
          <w:b w:val="0"/>
          <w:i w:val="0"/>
          <w:color w:val="0C7A75"/>
          <w:sz w:val="16"/>
        </w:rPr>
        <w:t>data_change_log</w:t>
      </w:r>
      <w:r>
        <w:rPr>
          <w:b w:val="0"/>
          <w:i w:val="0"/>
        </w:rPr>
        <w:t>. The accompanying enrichment-review CSV maps existing fields to feasible sources, verification and refresh policies; its recommendations are a review guide, not newly populated data.</w:t>
      </w:r>
    </w:p>
    <w:p>
      <w:pPr>
        <w:widowControl/>
      </w:pPr>
      <w:r>
        <w:rPr>
          <w:b/>
          <w:i w:val="0"/>
        </w:rPr>
        <w:t>Important data-version boundary:</w:t>
      </w:r>
      <w:r>
        <w:rPr>
          <w:b w:val="0"/>
          <w:i w:val="0"/>
        </w:rPr>
        <w:t xml:space="preserve"> earlier TripRaft discussions referred to a larger ongoing enrichment/country expansion. Do not treat those operational reports as the row counts in this uploaded snapshot. Confirm the latest deployment and its schema before any migration. Never overwrite enriched rows, batch checkpoints, or stable country/state/city/place IDs during catalog updates.</w:t>
      </w:r>
    </w:p>
    <w:p>
      <w:pPr>
        <w:pStyle w:val="Heading2"/>
      </w:pPr>
      <w:r>
        <w:rPr>
          <w:b w:val="0"/>
          <w:i w:val="0"/>
        </w:rPr>
        <w:t>5. Prior product features versus implementation status</w:t>
      </w:r>
    </w:p>
    <w:p>
      <w:pPr>
        <w:widowControl/>
      </w:pPr>
      <w:r>
        <w:rPr>
          <w:b w:val="0"/>
          <w:i w:val="0"/>
        </w:rPr>
        <w:t>The features below were previously described as part of TripRaft's product; the uploaded catalog alone cannot demonstrate that the associated application code is deployed.</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Feature family</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Existing discussion</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Confidence for this blueprint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Scout + Crew AI agents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Scout finds places and intent; Crew handles trip actions, preferences and group workflows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USER-DESCRIBED; preserve intent, validate code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Group itinerary</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Days, places, map, time, notes, and participant permissions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USER-DESCRIBED</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Shared circles and chat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Group invites, leader/admin/member roles, discussions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USER-DESCRIBED</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Polls and voting</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Choosing travel dates, places, activities and group decisions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USER-DESCRIBED</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Expense tracking</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Split personal/group expenses, balances, settle-up records, history and export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USER-DESCRIBED; expense implementation previously discussed</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Calendar and checklists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Trip checklist, ticket uploads, Google Calendar addition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USER-DESCRIBED</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Company workspaces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Budgets, policies, approvals and employee travel</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PROPOSED broader product line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Tour agency portal</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Package listing, departure inventories, bookings, payouts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PROPOSED marketplace product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Real-time supplier availability</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APIs / allocated inventory / partner dashboard updates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PROPOSED</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Dynamic marketplace pricing</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Rate rules, discounts, locked booking quotes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PROPOSED</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Direct checkout + bank payouts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Payment verification, vendor settlement and reconciliation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PROPOSED</w:t>
            </w:r>
          </w:p>
        </w:tc>
      </w:tr>
    </w:tbl>
    <w:p>
      <w:pPr>
        <w:spacing w:after="0"/>
      </w:pPr>
    </w:p>
    <w:p>
      <w:pPr>
        <w:pStyle w:val="Heading2"/>
      </w:pPr>
      <w:r>
        <w:rPr>
          <w:b w:val="0"/>
          <w:i w:val="0"/>
        </w:rPr>
        <w:t>6. Separation of data responsibilities</w:t>
      </w:r>
    </w:p>
    <w:p>
      <w:pPr>
        <w:widowControl/>
      </w:pPr>
      <w:r>
        <w:rPr>
          <w:b w:val="0"/>
          <w:i w:val="0"/>
        </w:rPr>
        <w:t xml:space="preserve">Continue using the canonical SQLite database as the source of record for </w:t>
      </w:r>
      <w:r>
        <w:rPr>
          <w:b/>
          <w:i w:val="0"/>
        </w:rPr>
        <w:t>place content, provenance, historical catalog identifiers and enrichments</w:t>
      </w:r>
      <w:r>
        <w:rPr>
          <w:b w:val="0"/>
          <w:i w:val="0"/>
        </w:rPr>
        <w:t>. Add a new PostgreSQL operational database for tenant access, suppliers, contracts, packages, departure inventory, bookings, payments, traveler documents, payouts, finance and audit events. Optionally replicate approved read-only catalog projections into PostgreSQL/search infrastructure via versioned ETL; retain cross-system mappings and provenance.</w:t>
      </w:r>
    </w:p>
    <w:p>
      <w:pPr>
        <w:widowControl/>
      </w:pPr>
      <w:r>
        <w:rPr>
          <w:b w:val="0"/>
          <w:i w:val="0"/>
        </w:rPr>
        <w:t xml:space="preserve">A destination listing (e.g., Manali) is not a bookable departure. One destination may be associated with dozens of tour operators and multiple offerings with changing capacity. Never put time-sensitive package inventory directly into static </w:t>
      </w:r>
      <w:r>
        <w:rPr>
          <w:rFonts w:ascii="Consolas" w:hAnsi="Consolas"/>
          <w:b w:val="0"/>
          <w:i w:val="0"/>
          <w:color w:val="0C7A75"/>
          <w:sz w:val="16"/>
        </w:rPr>
        <w:t>places</w:t>
      </w:r>
      <w:r>
        <w:rPr>
          <w:b w:val="0"/>
          <w:i w:val="0"/>
        </w:rPr>
        <w:t xml:space="preserve"> columns as if it were evergreen catalog content.</w:t>
      </w:r>
    </w:p>
    <w:p>
      <w:r>
        <w:br w:type="page"/>
      </w:r>
    </w:p>
    <w:p>
      <w:pPr>
        <w:pStyle w:val="Heading1"/>
      </w:pPr>
      <w:r>
        <w:rPr>
          <w:b w:val="0"/>
          <w:i w:val="0"/>
        </w:rPr>
        <w:t>PART III — COMPLETE PRODUCT FEATURE SET</w:t>
      </w:r>
    </w:p>
    <w:p>
      <w:pPr>
        <w:pStyle w:val="Heading2"/>
      </w:pPr>
      <w:r>
        <w:rPr>
          <w:b w:val="0"/>
          <w:i w:val="0"/>
        </w:rPr>
        <w:t>7. Customer and consumer journey</w:t>
      </w:r>
    </w:p>
    <w:p>
      <w:pPr>
        <w:widowControl/>
      </w:pPr>
      <w:r>
        <w:rPr>
          <w:b/>
          <w:i w:val="0"/>
        </w:rPr>
        <w:t>Discover:</w:t>
      </w:r>
      <w:r>
        <w:rPr>
          <w:b w:val="0"/>
          <w:i w:val="0"/>
        </w:rPr>
        <w:t xml:space="preserve"> destination explorer; country/state/city/POI search; seasonal inspiration; best time to go; activity categories; accessibility and dietary filters where verified; photo attribution; ratings with source identity; weather and currency indications; favorites; compare destinations; estimated budget.</w:t>
      </w:r>
    </w:p>
    <w:p>
      <w:pPr>
        <w:widowControl/>
      </w:pPr>
      <w:r>
        <w:rPr>
          <w:b/>
          <w:i w:val="0"/>
        </w:rPr>
        <w:t>Plan:</w:t>
      </w:r>
      <w:r>
        <w:rPr>
          <w:b w:val="0"/>
          <w:i w:val="0"/>
        </w:rPr>
        <w:t xml:space="preserve"> AI goal-to-itinerary flow; daily agenda, time windows, opening hours and travel times; reorder by drag-and-drop; stay and transport suggestions; calendar export; route map; backup/rainy-day itinerary; family preferences and budget limits; document and checklist uploads.</w:t>
      </w:r>
    </w:p>
    <w:p>
      <w:pPr>
        <w:widowControl/>
      </w:pPr>
      <w:r>
        <w:rPr>
          <w:b/>
          <w:i w:val="0"/>
        </w:rPr>
        <w:t>Book:</w:t>
      </w:r>
      <w:r>
        <w:rPr>
          <w:b w:val="0"/>
          <w:i w:val="0"/>
        </w:rPr>
        <w:t xml:space="preserve"> package cards with date-specific starting prices and inclusions; departure selection; participant count; current availability status; instant-confirm versus request-to-book label; cancellation terms; total price, currency and taxes; provider identity; quote/hold; secure checkout; confirmation reference; vouchers and contact information.</w:t>
      </w:r>
    </w:p>
    <w:p>
      <w:pPr>
        <w:widowControl/>
      </w:pPr>
      <w:r>
        <w:rPr>
          <w:b/>
          <w:i w:val="0"/>
        </w:rPr>
        <w:t>Travel and return:</w:t>
      </w:r>
      <w:r>
        <w:rPr>
          <w:b w:val="0"/>
          <w:i w:val="0"/>
        </w:rPr>
        <w:t xml:space="preserve"> live updates; itinerary change notifications; saved travel documents; check-in/pickup guidance; expense capture; split-up settlement; operator contact and safety/support escalation; ratings from verified experience; request refunds or dispute handling.</w:t>
      </w:r>
    </w:p>
    <w:p>
      <w:pPr>
        <w:pStyle w:val="Heading2"/>
      </w:pPr>
      <w:r>
        <w:rPr>
          <w:b w:val="0"/>
          <w:i w:val="0"/>
        </w:rPr>
        <w:t>8. Friends, family and collaborative groups</w:t>
      </w:r>
    </w:p>
    <w:p>
      <w:pPr>
        <w:widowControl/>
      </w:pPr>
      <w:r>
        <w:rPr>
          <w:b w:val="0"/>
          <w:i w:val="0"/>
        </w:rPr>
        <w:t>A TripRaft trip belongs to a group workspace that contains members, roles, group settings, chat, polls, itinerary changes, bookings, shared documents, expenses and a searchable activity feed. A host can invite by share link or direct invite; group membership determines data access. Support per-object privacy, since not every participant should see confidential documents or bank details.</w:t>
      </w:r>
    </w:p>
    <w:p>
      <w:pPr>
        <w:widowControl/>
      </w:pPr>
      <w:r>
        <w:rPr>
          <w:b/>
          <w:i w:val="0"/>
        </w:rPr>
        <w:t>Roles:</w:t>
      </w:r>
      <w:r>
        <w:rPr>
          <w:b w:val="0"/>
          <w:i w:val="0"/>
        </w:rPr>
        <w:t xml:space="preserve"> Owner/Leader manages membership and locks key bookings; Editor can update itinerary/expenses subject to policy; Member comments, votes and views; Viewer reads without changing anything. Optional trip roles include Treasurer, Navigator and Culture Scout. All permissions must be enforced by the backend—never only by hidden UI buttons.</w:t>
      </w:r>
    </w:p>
    <w:p>
      <w:pPr>
        <w:widowControl/>
      </w:pPr>
      <w:r>
        <w:rPr>
          <w:b/>
          <w:i w:val="0"/>
        </w:rPr>
        <w:t>Planning collaboration:</w:t>
      </w:r>
      <w:r>
        <w:rPr>
          <w:b w:val="0"/>
          <w:i w:val="0"/>
        </w:rPr>
        <w:t xml:space="preserve"> real-time comments and suggestions; poll for travel dates/hotels/activities; majority or organizer-decides modes; structured vote result; plan revisions; concurrent edit conflicts; calendar notifications; group chat search and AI-generated decision summaries. Keep AI-proposed modifications in a review queue until an authorized human accepts them.</w:t>
      </w:r>
    </w:p>
    <w:p>
      <w:pPr>
        <w:widowControl/>
      </w:pPr>
      <w:r>
        <w:rPr>
          <w:b/>
          <w:i w:val="0"/>
        </w:rPr>
        <w:t>Expense engine:</w:t>
      </w:r>
      <w:r>
        <w:rPr>
          <w:b w:val="0"/>
          <w:i w:val="0"/>
        </w:rPr>
        <w:t xml:space="preserve"> manual/imported expenses; equal, percentage, exact and share-based splits; currency/date exchange references; group balances; partial settlement; settle-up history; edit/delete events with recalculated balances; PDF/CSV reports; receipts; notification of each participant's share. Expense settlements between travelers are distinct from marketplace supplier payouts and must use separate ledger semantics.</w:t>
      </w:r>
    </w:p>
    <w:p>
      <w:pPr>
        <w:pStyle w:val="Heading2"/>
      </w:pPr>
      <w:r>
        <w:rPr>
          <w:b w:val="0"/>
          <w:i w:val="0"/>
        </w:rPr>
        <w:t>9. Company, education and organization workspaces</w:t>
      </w:r>
    </w:p>
    <w:p>
      <w:pPr>
        <w:widowControl/>
      </w:pPr>
      <w:r>
        <w:rPr>
          <w:b w:val="0"/>
          <w:i w:val="0"/>
        </w:rPr>
        <w:t xml:space="preserve">Use the same authentication and tenant model but different workspace policies. Organizations can create teams, trips and budgets; set allowed booking classes; nominate approvers; record cost centers; manage travelers; and receive aggregated reports. A travel request can move from </w:t>
      </w:r>
      <w:r>
        <w:rPr>
          <w:rFonts w:ascii="Consolas" w:hAnsi="Consolas"/>
          <w:b w:val="0"/>
          <w:i w:val="0"/>
          <w:color w:val="0C7A75"/>
          <w:sz w:val="16"/>
        </w:rPr>
        <w:t>draft</w:t>
      </w:r>
      <w:r>
        <w:rPr>
          <w:b w:val="0"/>
          <w:i w:val="0"/>
        </w:rPr>
        <w:t xml:space="preserve"> to </w:t>
      </w:r>
      <w:r>
        <w:rPr>
          <w:rFonts w:ascii="Consolas" w:hAnsi="Consolas"/>
          <w:b w:val="0"/>
          <w:i w:val="0"/>
          <w:color w:val="0C7A75"/>
          <w:sz w:val="16"/>
        </w:rPr>
        <w:t>submitted</w:t>
      </w:r>
      <w:r>
        <w:rPr>
          <w:b w:val="0"/>
          <w:i w:val="0"/>
        </w:rPr>
        <w:t xml:space="preserve"> to </w:t>
      </w:r>
      <w:r>
        <w:rPr>
          <w:rFonts w:ascii="Consolas" w:hAnsi="Consolas"/>
          <w:b w:val="0"/>
          <w:i w:val="0"/>
          <w:color w:val="0C7A75"/>
          <w:sz w:val="16"/>
        </w:rPr>
        <w:t>approved</w:t>
      </w:r>
      <w:r>
        <w:rPr>
          <w:b w:val="0"/>
          <w:i w:val="0"/>
        </w:rPr>
        <w:t xml:space="preserve"> or </w:t>
      </w:r>
      <w:r>
        <w:rPr>
          <w:rFonts w:ascii="Consolas" w:hAnsi="Consolas"/>
          <w:b w:val="0"/>
          <w:i w:val="0"/>
          <w:color w:val="0C7A75"/>
          <w:sz w:val="16"/>
        </w:rPr>
        <w:t>rejected</w:t>
      </w:r>
      <w:r>
        <w:rPr>
          <w:b w:val="0"/>
          <w:i w:val="0"/>
        </w:rPr>
        <w:t>, and only then become bookable under the organization's policy.</w:t>
      </w:r>
    </w:p>
    <w:p>
      <w:pPr>
        <w:widowControl/>
      </w:pPr>
      <w:r>
        <w:rPr>
          <w:b w:val="0"/>
          <w:i w:val="0"/>
        </w:rPr>
        <w:t>Include role-based approval, billing profiles, expense policy flags, audit trails, travel duty-of-care contacts, permission-limited reporting, supplier preferences, policy-compliant itinerary suggestions, invoice exports and organization-specific document retention. Start with manual approval before automated policy engines or negotiated corporate rate contracts.</w:t>
      </w:r>
    </w:p>
    <w:p>
      <w:pPr>
        <w:pStyle w:val="Heading2"/>
      </w:pPr>
      <w:r>
        <w:rPr>
          <w:b w:val="0"/>
          <w:i w:val="0"/>
        </w:rPr>
        <w:t>10. Agency and operator product</w:t>
      </w:r>
    </w:p>
    <w:p>
      <w:pPr>
        <w:widowControl/>
      </w:pPr>
      <w:r>
        <w:rPr>
          <w:b w:val="0"/>
          <w:i w:val="0"/>
        </w:rPr>
        <w:t>Tour suppliers should have a self-service Partner Portal, accessible from the main TripRaft account with a supplier workspace and separate permissions. Minimum modules: business onboarding and verification; contract acceptance; team members; package creation; departure calendar; inventory/capacity; rates and promotions; bookings; traveler manifests; messages; voucher fulfillment; cancellation requests; payouts/settlement status; support tickets; performance reports; API credentials when enabled.</w:t>
      </w:r>
    </w:p>
    <w:p>
      <w:pPr>
        <w:widowControl/>
      </w:pPr>
      <w:r>
        <w:rPr>
          <w:b w:val="0"/>
          <w:i w:val="0"/>
        </w:rPr>
        <w:t>Onboarding should capture legal trading name, contact details, service area, banking/payout eligibility, business registration/tax details when needed, identity verification handled by provider where possible, emergency contacts, insurance/licensing evidence appropriate to products, bank verification status, and accepted marketplace terms.</w:t>
      </w:r>
    </w:p>
    <w:p>
      <w:pPr>
        <w:widowControl/>
      </w:pPr>
      <w:r>
        <w:rPr>
          <w:b w:val="0"/>
          <w:i w:val="0"/>
        </w:rPr>
        <w:t>An operator with no website should be able to use a phone to change availability or confirm a request. An operator already using a reservation product should eventually connect through adapters/webhooks. Do not force small suppliers to hire a developer.</w:t>
      </w:r>
    </w:p>
    <w:p>
      <w:pPr>
        <w:pStyle w:val="Heading2"/>
      </w:pPr>
      <w:r>
        <w:rPr>
          <w:b w:val="0"/>
          <w:i w:val="0"/>
        </w:rPr>
        <w:t>11. Essential TripRaft screens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382"/>
        <w:gridCol w:w="6281"/>
      </w:tblGrid>
      <w:tr>
        <w:trPr>
          <w:tblHeader w:val="true"/>
        </w:trPr>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Audience</w:t>
            </w:r>
          </w:p>
        </w:tc>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Required screens / modules</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Guest / traveler</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Home, discovery, destination, package detail, availability/date picker, checkout, payment result, bookings, voucher, refunds, saved payment methods</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Group workspace</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Trip overview, itinerary, map, chat, polls, votes, shared documents, expenses, balances, checklist, invitations, notifications</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Company workspace</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Employees, trips, approvals, policy settings, budget, expense reports, vendors, billing</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Supplier</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Overview, onboarding/KYC status, products, departures, pricing calendar, seats, booking queue, traveler manifest, payouts, cancellation center, staff/API</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Admin / trust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Supplier approvals, contracts, catalog QA, bookings, payments, payouts, refunds, disputes, fraud signals, customer support, promotions, audit logs, analytics</w:t>
            </w:r>
          </w:p>
        </w:tc>
      </w:tr>
    </w:tbl>
    <w:p>
      <w:pPr>
        <w:spacing w:after="0"/>
      </w:pPr>
    </w:p>
    <w:p>
      <w:pPr>
        <w:pStyle w:val="Heading2"/>
      </w:pPr>
      <w:r>
        <w:rPr>
          <w:b w:val="0"/>
          <w:i w:val="0"/>
        </w:rPr>
        <w:t>12. Localization, accessibility and trust</w:t>
      </w:r>
    </w:p>
    <w:p>
      <w:pPr>
        <w:widowControl/>
      </w:pPr>
      <w:r>
        <w:rPr>
          <w:b w:val="0"/>
          <w:i w:val="0"/>
        </w:rPr>
        <w:t xml:space="preserve">Support local time zones for departure and cut-off rules, ISO currency and formatted local price, translated UI, language-aware place aliases, wheelchair/child-friendly information where verified, accessible controls, error messages, document privacy, and clear service-provider identity. Clearly show the difference among </w:t>
      </w:r>
      <w:r>
        <w:rPr>
          <w:b/>
          <w:i w:val="0"/>
        </w:rPr>
        <w:t>available</w:t>
      </w:r>
      <w:r>
        <w:rPr>
          <w:b w:val="0"/>
          <w:i w:val="0"/>
        </w:rPr>
        <w:t xml:space="preserve">, </w:t>
      </w:r>
      <w:r>
        <w:rPr>
          <w:b/>
          <w:i w:val="0"/>
        </w:rPr>
        <w:t>limited availability</w:t>
      </w:r>
      <w:r>
        <w:rPr>
          <w:b w:val="0"/>
          <w:i w:val="0"/>
        </w:rPr>
        <w:t xml:space="preserve">, </w:t>
      </w:r>
      <w:r>
        <w:rPr>
          <w:b/>
          <w:i w:val="0"/>
        </w:rPr>
        <w:t>request confirmation</w:t>
      </w:r>
      <w:r>
        <w:rPr>
          <w:b w:val="0"/>
          <w:i w:val="0"/>
        </w:rPr>
        <w:t xml:space="preserve">, </w:t>
      </w:r>
      <w:r>
        <w:rPr>
          <w:b/>
          <w:i w:val="0"/>
        </w:rPr>
        <w:t>sold out</w:t>
      </w:r>
      <w:r>
        <w:rPr>
          <w:b w:val="0"/>
          <w:i w:val="0"/>
        </w:rPr>
        <w:t xml:space="preserve">, </w:t>
      </w:r>
      <w:r>
        <w:rPr>
          <w:b/>
          <w:i w:val="0"/>
        </w:rPr>
        <w:t>temporarily unavailable</w:t>
      </w:r>
      <w:r>
        <w:rPr>
          <w:b w:val="0"/>
          <w:i w:val="0"/>
        </w:rPr>
        <w:t xml:space="preserve">, and </w:t>
      </w:r>
      <w:r>
        <w:rPr>
          <w:b/>
          <w:i w:val="0"/>
        </w:rPr>
        <w:t>unknown</w:t>
      </w:r>
      <w:r>
        <w:rPr>
          <w:b w:val="0"/>
          <w:i w:val="0"/>
        </w:rPr>
        <w:t>. Always communicate where rate or availability information came from and when it was checked.</w:t>
      </w:r>
    </w:p>
    <w:p>
      <w:r>
        <w:br w:type="page"/>
      </w:r>
    </w:p>
    <w:p>
      <w:pPr>
        <w:pStyle w:val="Heading1"/>
      </w:pPr>
      <w:r>
        <w:rPr>
          <w:b w:val="0"/>
          <w:i w:val="0"/>
        </w:rPr>
        <w:t>PART IV — TRAVEL INVENTORY &amp; SUPPLIER INTEGRATION</w:t>
      </w:r>
    </w:p>
    <w:p>
      <w:pPr>
        <w:pStyle w:val="Heading2"/>
      </w:pPr>
      <w:r>
        <w:rPr>
          <w:b w:val="0"/>
          <w:i w:val="0"/>
        </w:rPr>
        <w:t>13. Three inventory sourcing modes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092"/>
        <w:gridCol w:w="2126"/>
        <w:gridCol w:w="2126"/>
        <w:gridCol w:w="2319"/>
      </w:tblGrid>
      <w:tr>
        <w:trPr>
          <w:tblHeader w:val="true"/>
        </w:trPr>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Mode</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Who is source of truth?</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Can TripRaft confirm immediately?</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Operational caveat</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Allocated inventory</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TripRaft controls agreed exclusive package seats</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Yes, if contract and payment conditions satisfied</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Prevent overbooking with atomic holds</w:t>
            </w:r>
          </w:p>
        </w:tc>
      </w:tr>
      <w:tr>
        <w:trPr>
          <w:cantSplit/>
        </w:trPr>
        <w:tc>
          <w:tcPr>
            <w:tcW w:type="dxa" w:w="3092"/>
            <w:vAlign w:val="center"/>
            <w:tcMar>
              <w:top w:w="85" w:type="dxa"/>
              <w:start w:w="95" w:type="dxa"/>
              <w:bottom w:w="85" w:type="dxa"/>
              <w:end w:w="95" w:type="dxa"/>
            </w:tcMar>
            <w:shd w:fill="F3F7FA"/>
          </w:tcPr>
          <w:p>
            <w:pPr>
              <w:pStyle w:val="TableText"/>
              <w:spacing w:after="0"/>
            </w:pPr>
            <w:r>
              <w:rPr>
                <w:sz w:val="15"/>
              </w:rPr>
            </w:r>
            <w:r>
              <w:rPr>
                <w:b w:val="0"/>
                <w:i w:val="0"/>
                <w:sz w:val="15"/>
              </w:rPr>
              <w:t>Supplier-managed / manual</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Operator holds actual capacity, including offline sales</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Only after supplier accepts / guarantees allotment</w:t>
            </w:r>
          </w:p>
        </w:tc>
        <w:tc>
          <w:tcPr>
            <w:tcW w:type="dxa" w:w="2319"/>
            <w:vAlign w:val="center"/>
            <w:tcMar>
              <w:top w:w="85" w:type="dxa"/>
              <w:start w:w="95" w:type="dxa"/>
              <w:bottom w:w="85" w:type="dxa"/>
              <w:end w:w="95" w:type="dxa"/>
            </w:tcMar>
            <w:shd w:fill="F3F7FA"/>
          </w:tcPr>
          <w:p>
            <w:pPr>
              <w:pStyle w:val="TableText"/>
              <w:spacing w:after="0"/>
            </w:pPr>
            <w:r>
              <w:rPr>
                <w:sz w:val="15"/>
              </w:rPr>
            </w:r>
            <w:r>
              <w:rPr>
                <w:b w:val="0"/>
                <w:i w:val="0"/>
                <w:sz w:val="15"/>
              </w:rPr>
              <w:t>Show request-to-book or recently checked status</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External provider API</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Expedia/Booking/Viator/other licensed provider</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According to provider's booking flow and permissions</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Recheck and respect API rules / commercial eligibility</w:t>
            </w:r>
          </w:p>
        </w:tc>
      </w:tr>
    </w:tbl>
    <w:p>
      <w:pPr>
        <w:spacing w:after="0"/>
      </w:pPr>
    </w:p>
    <w:p>
      <w:pPr>
        <w:widowControl/>
      </w:pPr>
      <w:r>
        <w:rPr>
          <w:b w:val="0"/>
          <w:i w:val="0"/>
        </w:rPr>
        <w:t>Hotel room-night inventory is not the same as tour-departure inventory: hotels commonly price per room type, occupancy, dates, refundability and rate plan. Flight seat maps are not interchangeable with number of tickets available at a fare. A provider may expose availability or price but not exact seat count. The frontend must not fabricate a numerical remaining count.</w:t>
      </w:r>
    </w:p>
    <w:p>
      <w:pPr>
        <w:widowControl/>
      </w:pPr>
      <w:r>
        <w:rPr>
          <w:b/>
          <w:i w:val="0"/>
        </w:rPr>
        <w:t>Integration candidates:</w:t>
      </w:r>
      <w:r>
        <w:rPr>
          <w:b w:val="0"/>
          <w:i w:val="0"/>
        </w:rPr>
        <w:t xml:space="preserve"> Expedia Rapid Shopping for live lodging rates and availability </w:t>
      </w:r>
      <w:r>
        <w:rPr>
          <w:b w:val="0"/>
          <w:i w:val="0"/>
        </w:rPr>
        <w:t>[</w:t>
      </w:r>
      <w:r>
        <w:rPr>
          <w:b w:val="0"/>
          <w:i w:val="0"/>
        </w:rPr>
        <w:t xml:space="preserve">R1]; Booking.com Demand API for supported search/look/redirect or integrated booking flows </w:t>
      </w:r>
      <w:r>
        <w:rPr>
          <w:b w:val="0"/>
          <w:i w:val="0"/>
        </w:rPr>
        <w:t>[</w:t>
      </w:r>
      <w:r>
        <w:rPr>
          <w:b w:val="0"/>
          <w:i w:val="0"/>
        </w:rPr>
        <w:t xml:space="preserve">R2]; Viator Partner API for tour product details and availability/booking holds where approved </w:t>
      </w:r>
      <w:r>
        <w:rPr>
          <w:b w:val="0"/>
          <w:i w:val="0"/>
        </w:rPr>
        <w:t>[</w:t>
      </w:r>
      <w:r>
        <w:rPr>
          <w:b w:val="0"/>
          <w:i w:val="0"/>
        </w:rPr>
        <w:t>R3]. Access depends on partnership, contract, country, features and supplier restrictions.</w:t>
      </w:r>
    </w:p>
    <w:p>
      <w:pPr>
        <w:pStyle w:val="Heading2"/>
      </w:pPr>
      <w:r>
        <w:rPr>
          <w:b w:val="0"/>
          <w:i w:val="0"/>
        </w:rPr>
        <w:t>14. Inventory ledger and hold design</w:t>
      </w:r>
    </w:p>
    <w:p>
      <w:pPr>
        <w:widowControl/>
      </w:pPr>
      <w:r>
        <w:rPr>
          <w:b w:val="0"/>
          <w:i w:val="0"/>
        </w:rPr>
        <w:t xml:space="preserve">For a departure with capacity 10, confirmed seats 6 and active pending holds 2, display 2 seats available. Calculate </w:t>
      </w:r>
      <w:r>
        <w:rPr>
          <w:rFonts w:ascii="Consolas" w:hAnsi="Consolas"/>
          <w:b w:val="0"/>
          <w:i w:val="0"/>
          <w:color w:val="0C7A75"/>
          <w:sz w:val="16"/>
        </w:rPr>
        <w:t>available = capacity - confirmed - active_holds</w:t>
      </w:r>
      <w:r>
        <w:rPr>
          <w:b w:val="0"/>
          <w:i w:val="0"/>
        </w:rPr>
        <w:t xml:space="preserve"> with correct release semantics; do not include expired holds. A hold is a temporary reservation of capacity, not proof that payment succeeded and not legal custody of customer money.</w:t>
      </w:r>
    </w:p>
    <w:p>
      <w:pPr>
        <w:widowControl/>
      </w:pPr>
      <w:r>
        <w:rPr>
          <w:b/>
          <w:i w:val="0"/>
        </w:rPr>
        <w:t>Race-proof method:</w:t>
      </w:r>
      <w:r>
        <w:rPr>
          <w:b w:val="0"/>
          <w:i w:val="0"/>
        </w:rPr>
        <w:t xml:space="preserve"> inside one database transaction, lock the departure inventory row, reconcile expired holds, verify availability, create a uniquely identified hold with expiration, and commit. On payment confirmation plus supplier eligibility, atomically turn held seats into confirmed seats; on failure/expiry release them. For provider-owned inventory, use provider-specific hold and confirmation APIs instead of assuming your local hold prevents outside sales.</w:t>
      </w:r>
    </w:p>
    <w:p>
      <w:pPr>
        <w:widowControl/>
      </w:pPr>
      <w:r>
        <w:rPr>
          <w:b/>
          <w:i w:val="0"/>
        </w:rPr>
        <w:t>Expiry example:</w:t>
      </w:r>
      <w:r>
        <w:rPr>
          <w:b w:val="0"/>
          <w:i w:val="0"/>
        </w:rPr>
        <w:t xml:space="preserve"> </w:t>
      </w:r>
      <w:r>
        <w:rPr>
          <w:rFonts w:ascii="Consolas" w:hAnsi="Consolas"/>
          <w:b w:val="0"/>
          <w:i w:val="0"/>
          <w:color w:val="0C7A75"/>
          <w:sz w:val="16"/>
        </w:rPr>
        <w:t>hold_expires_at = server_time + 10 minutes</w:t>
      </w:r>
      <w:r>
        <w:rPr>
          <w:b w:val="0"/>
          <w:i w:val="0"/>
        </w:rPr>
        <w:t>; quote validity may differ; customer-facing countdown must derive from the server. Make sure asynchronous gateways have an explicit strategy for late success after local expiry: revalidate/confirm if possible, otherwise void/refund and notify. Never oversell to preserve an earlier promise.</w:t>
      </w:r>
    </w:p>
    <w:p>
      <w:pPr>
        <w:pStyle w:val="Heading2"/>
      </w:pPr>
      <w:r>
        <w:rPr>
          <w:b w:val="0"/>
          <w:i w:val="0"/>
        </w:rPr>
        <w:t>15. Booking confirmation modes</w:t>
      </w:r>
    </w:p>
    <w:p>
      <w:pPr>
        <w:widowControl/>
      </w:pPr>
      <w:r>
        <w:rPr>
          <w:b/>
          <w:i w:val="0"/>
        </w:rPr>
        <w:t>Instant confirm:</w:t>
      </w:r>
      <w:r>
        <w:rPr>
          <w:b w:val="0"/>
          <w:i w:val="0"/>
        </w:rPr>
        <w:t xml:space="preserve"> verified allotted inventory or successful supplier confirmation path; user sees confirmed booking only once payment and supply conditions are satisfied. </w:t>
      </w:r>
      <w:r>
        <w:rPr>
          <w:b/>
          <w:i w:val="0"/>
        </w:rPr>
        <w:t>Request to book:</w:t>
      </w:r>
      <w:r>
        <w:rPr>
          <w:b w:val="0"/>
          <w:i w:val="0"/>
        </w:rPr>
        <w:t xml:space="preserve"> operator must accept within a stated SLA; user sees pending status, not a fake confirmed voucher. Prefer payment after supplier availability confirmation, or clearly disclose preauthorization/temporary charge and rejection/refund behavior if permitted by the chosen method.</w:t>
      </w:r>
    </w:p>
    <w:p>
      <w:pPr>
        <w:widowControl/>
      </w:pPr>
      <w:r>
        <w:rPr>
          <w:b/>
          <w:i w:val="0"/>
        </w:rPr>
        <w:t>Group reservation complexity:</w:t>
      </w:r>
      <w:r>
        <w:rPr>
          <w:b w:val="0"/>
          <w:i w:val="0"/>
        </w:rPr>
        <w:t xml:space="preserve"> the trip workspace may contain 8 members but only 5 paying passengers; the person booking may pay for others; traveler details may be incomplete at checkout; final manifests need name/departure accuracy. Keep </w:t>
      </w:r>
      <w:r>
        <w:rPr>
          <w:rFonts w:ascii="Consolas" w:hAnsi="Consolas"/>
          <w:b w:val="0"/>
          <w:i w:val="0"/>
          <w:color w:val="0C7A75"/>
          <w:sz w:val="16"/>
        </w:rPr>
        <w:t>booker_id</w:t>
      </w:r>
      <w:r>
        <w:rPr>
          <w:b w:val="0"/>
          <w:i w:val="0"/>
        </w:rPr>
        <w:t xml:space="preserve">, </w:t>
      </w:r>
      <w:r>
        <w:rPr>
          <w:rFonts w:ascii="Consolas" w:hAnsi="Consolas"/>
          <w:b w:val="0"/>
          <w:i w:val="0"/>
          <w:color w:val="0C7A75"/>
          <w:sz w:val="16"/>
        </w:rPr>
        <w:t>travelers</w:t>
      </w:r>
      <w:r>
        <w:rPr>
          <w:b w:val="0"/>
          <w:i w:val="0"/>
        </w:rPr>
        <w:t xml:space="preserve">, </w:t>
      </w:r>
      <w:r>
        <w:rPr>
          <w:rFonts w:ascii="Consolas" w:hAnsi="Consolas"/>
          <w:b w:val="0"/>
          <w:i w:val="0"/>
          <w:color w:val="0C7A75"/>
          <w:sz w:val="16"/>
        </w:rPr>
        <w:t>seats</w:t>
      </w:r>
      <w:r>
        <w:rPr>
          <w:b w:val="0"/>
          <w:i w:val="0"/>
        </w:rPr>
        <w:t xml:space="preserve">, </w:t>
      </w:r>
      <w:r>
        <w:rPr>
          <w:rFonts w:ascii="Consolas" w:hAnsi="Consolas"/>
          <w:b w:val="0"/>
          <w:i w:val="0"/>
          <w:color w:val="0C7A75"/>
          <w:sz w:val="16"/>
        </w:rPr>
        <w:t>payer_id</w:t>
      </w:r>
      <w:r>
        <w:rPr>
          <w:b w:val="0"/>
          <w:i w:val="0"/>
        </w:rPr>
        <w:t xml:space="preserve">, </w:t>
      </w:r>
      <w:r>
        <w:rPr>
          <w:rFonts w:ascii="Consolas" w:hAnsi="Consolas"/>
          <w:b w:val="0"/>
          <w:i w:val="0"/>
          <w:color w:val="0C7A75"/>
          <w:sz w:val="16"/>
        </w:rPr>
        <w:t>group_trip_id</w:t>
      </w:r>
      <w:r>
        <w:rPr>
          <w:b w:val="0"/>
          <w:i w:val="0"/>
        </w:rPr>
        <w:t xml:space="preserve"> and each passenger's eligibility distinct.</w:t>
      </w:r>
    </w:p>
    <w:p>
      <w:pPr>
        <w:pStyle w:val="Heading2"/>
      </w:pPr>
      <w:r>
        <w:rPr>
          <w:b w:val="0"/>
          <w:i w:val="0"/>
        </w:rPr>
        <w:t>16. Multi-component packages</w:t>
      </w:r>
    </w:p>
    <w:p>
      <w:pPr>
        <w:widowControl/>
      </w:pPr>
      <w:r>
        <w:rPr>
          <w:b w:val="0"/>
          <w:i w:val="0"/>
        </w:rPr>
        <w:t>A package can involve bus seats, hotel rooms, guide slots, activity tickets, and pickup capacity. Its quantity available is constrained by the scarcest required resource after converting units and occupancy. E.g., hotel capacity for 4 twin rooms is 8 guests, but a bus with 5 seats limits package capacity to 5 travelers, unless alternative resources exist. Reserve components under coordinated confirmation rules; if one supplier fails, release other reservations or provide alternatives and informed customer choice. Do not promise atomic reservations across suppliers whose systems do not support it.</w:t>
      </w:r>
    </w:p>
    <w:p>
      <w:pPr>
        <w:pStyle w:val="Heading2"/>
      </w:pPr>
      <w:r>
        <w:rPr>
          <w:b w:val="0"/>
          <w:i w:val="0"/>
        </w:rPr>
        <w:t>17. Partner Portal inventory editing</w:t>
      </w:r>
    </w:p>
    <w:p>
      <w:pPr>
        <w:widowControl/>
      </w:pPr>
      <w:r>
        <w:rPr>
          <w:b/>
          <w:i w:val="0"/>
        </w:rPr>
        <w:t>Product form:</w:t>
      </w:r>
      <w:r>
        <w:rPr>
          <w:b w:val="0"/>
          <w:i w:val="0"/>
        </w:rPr>
        <w:t xml:space="preserve"> title, itinerary, locations (</w:t>
      </w:r>
      <w:r>
        <w:rPr>
          <w:rFonts w:ascii="Consolas" w:hAnsi="Consolas"/>
          <w:b w:val="0"/>
          <w:i w:val="0"/>
          <w:color w:val="0C7A75"/>
          <w:sz w:val="16"/>
        </w:rPr>
        <w:t>place_id</w:t>
      </w:r>
      <w:r>
        <w:rPr>
          <w:b w:val="0"/>
          <w:i w:val="0"/>
        </w:rPr>
        <w:t xml:space="preserve"> links), included/excluded services, category, meeting point, age limits, cancellation policy, supplier terms, photos/licenses, descriptive language, confirmation type. </w:t>
      </w:r>
      <w:r>
        <w:rPr>
          <w:b/>
          <w:i w:val="0"/>
        </w:rPr>
        <w:t>Departure form:</w:t>
      </w:r>
      <w:r>
        <w:rPr>
          <w:b w:val="0"/>
          <w:i w:val="0"/>
        </w:rPr>
        <w:t xml:space="preserve"> date/time/time zone, total capacity, reserved allocations, price/net rate, participant mix, min group, booking close cutoff, supplier booking reference, operating status, blackout dates. </w:t>
      </w:r>
      <w:r>
        <w:rPr>
          <w:b/>
          <w:i w:val="0"/>
        </w:rPr>
        <w:t>Calendar:</w:t>
      </w:r>
      <w:r>
        <w:rPr>
          <w:b w:val="0"/>
          <w:i w:val="0"/>
        </w:rPr>
        <w:t xml:space="preserve"> bulk change rates/seats, pause sales, seasonal overrides, and revision preview.</w:t>
      </w:r>
    </w:p>
    <w:p>
      <w:pPr>
        <w:widowControl/>
      </w:pPr>
      <w:r>
        <w:rPr>
          <w:b w:val="0"/>
          <w:i w:val="0"/>
        </w:rPr>
        <w:t>The system validates edits: capacity cannot be silently lowered below confirmed + held seats; economic changes apply to future quotes only; sensitive edits are versioned and audited; suppliers cannot modify another supplier's inventory. Use review/approval for public listings until a supplier has earned trust.</w:t>
      </w:r>
    </w:p>
    <w:p>
      <w:pPr>
        <w:pStyle w:val="Heading2"/>
      </w:pPr>
      <w:r>
        <w:rPr>
          <w:b w:val="0"/>
          <w:i w:val="0"/>
        </w:rPr>
        <w:t>18. Data synchronization and freshness contracts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Source</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Proposed read/write strategy</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UI message</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TripRaft allocated package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Database transaction + real-time event for inventory updates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Show precise seats with timestamp</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Manual offline supplier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Operator confirms, or reconciliation at agreed cadence</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'Request availability' or 'Last confirmed at…'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Supplier booking API</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Webhooks plus periodic catch-up / polling</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Show confirmed status; verify at checkout</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Third-party hotel/experience</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Rate/availability search followed by supplier booking or redirect</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Show current quote, policy and recheck warning</w:t>
            </w:r>
          </w:p>
        </w:tc>
      </w:tr>
    </w:tbl>
    <w:p>
      <w:pPr>
        <w:spacing w:after="0"/>
      </w:pPr>
    </w:p>
    <w:p>
      <w:pPr>
        <w:widowControl/>
      </w:pPr>
      <w:r>
        <w:rPr>
          <w:b w:val="0"/>
          <w:i w:val="0"/>
        </w:rPr>
        <w:t>Include retry queues, backoff, idempotency, provider rate limits, timeouts and reconciliation tasks. Log the supplier's last successful sync and an explicit uncertainty state if sync fails. Cached prices can improve search speed but must not be mistaken for a guaranteed checkout quote.</w:t>
      </w:r>
    </w:p>
    <w:p>
      <w:r>
        <w:br w:type="page"/>
      </w:r>
    </w:p>
    <w:p>
      <w:pPr>
        <w:pStyle w:val="Heading1"/>
      </w:pPr>
      <w:r>
        <w:rPr>
          <w:b w:val="0"/>
          <w:i w:val="0"/>
        </w:rPr>
        <w:t>PART V — PRICING, DISCOUNTS &amp; PROFITABILITY</w:t>
      </w:r>
    </w:p>
    <w:p>
      <w:pPr>
        <w:pStyle w:val="Heading2"/>
      </w:pPr>
      <w:r>
        <w:rPr>
          <w:b w:val="0"/>
          <w:i w:val="0"/>
        </w:rPr>
        <w:t>19. Pricing models and contracts</w:t>
      </w:r>
    </w:p>
    <w:p>
      <w:pPr>
        <w:widowControl/>
      </w:pPr>
      <w:r>
        <w:rPr>
          <w:b w:val="0"/>
          <w:i w:val="0"/>
        </w:rPr>
        <w:t xml:space="preserve">Each supplier agreement must specify </w:t>
      </w:r>
      <w:r>
        <w:rPr>
          <w:b/>
          <w:i w:val="0"/>
        </w:rPr>
        <w:t>commercial model</w:t>
      </w:r>
      <w:r>
        <w:rPr>
          <w:b w:val="0"/>
          <w:i w:val="0"/>
        </w:rPr>
        <w:t xml:space="preserve"> (net rate or commission), who is seller/merchant of record, supported currencies, rate and availability commitments, allowed markups/discounts, parity/advertising restrictions, taxes/invoicing responsibilities, refunds/chargebacks, payout milestones and customer-service responsibilities. Treat whether TripRaft can freely change resale price as a negotiated contractual right, not an assumed right.</w:t>
      </w:r>
    </w:p>
    <w:p>
      <w:pPr>
        <w:widowControl/>
      </w:pPr>
      <w:r>
        <w:rPr>
          <w:b/>
          <w:i w:val="0"/>
        </w:rPr>
        <w:t>Net-rate example:</w:t>
      </w:r>
      <w:r>
        <w:rPr>
          <w:b w:val="0"/>
          <w:i w:val="0"/>
        </w:rPr>
        <w:t xml:space="preserve"> TripRaft sells at </w:t>
      </w:r>
      <w:r>
        <w:rPr>
          <w:rFonts w:ascii="Consolas" w:hAnsi="Consolas"/>
          <w:b w:val="0"/>
          <w:i w:val="0"/>
          <w:color w:val="0C7A75"/>
          <w:sz w:val="16"/>
        </w:rPr>
        <w:t>customer_total = base_sell_price + required taxes/fees - valid discounts</w:t>
      </w:r>
      <w:r>
        <w:rPr>
          <w:b w:val="0"/>
          <w:i w:val="0"/>
        </w:rPr>
        <w:t xml:space="preserve">; payout to agent is the agreed net amount; gross contribution is customer consideration retained minus supplier costs, excluding tax collections not recognized as revenue. </w:t>
      </w:r>
      <w:r>
        <w:rPr>
          <w:b/>
          <w:i w:val="0"/>
        </w:rPr>
        <w:t>Commission example:</w:t>
      </w:r>
      <w:r>
        <w:rPr>
          <w:b w:val="0"/>
          <w:i w:val="0"/>
        </w:rPr>
        <w:t xml:space="preserve"> operator owns retail price and owes TripRaft a percentage/fee under contract. These models should be configured separately; do not double-count commission and net-rate markup.</w:t>
      </w:r>
    </w:p>
    <w:p>
      <w:pPr>
        <w:pStyle w:val="Heading2"/>
      </w:pPr>
      <w:r>
        <w:rPr>
          <w:b w:val="0"/>
          <w:i w:val="0"/>
        </w:rPr>
        <w:t>20. Dynamic pricing rules (first release)</w:t>
      </w:r>
    </w:p>
    <w:p>
      <w:pPr>
        <w:widowControl/>
      </w:pPr>
      <w:r>
        <w:rPr>
          <w:b w:val="0"/>
          <w:i w:val="0"/>
        </w:rPr>
        <w:t>Dynamic pricing should use package-level signals, not secretly penalize individual repeat visitors. First implementation can be deterministic and explainable. Inputs: occupancy ratio, confirmed booking velocity, days to departure, minimum group size, event/season calendar, competitor market observations with source/freshness, historical conversion, remaining supplier allocation and contractual price cap. Optional future inputs: demand forecasts and cancellation risk.</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Sold out of 10</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Example TripRaft price</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Gross contribution if net rate is ₹13,500</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0–3 seats sold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₹14,500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₹1,000 per sale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4–6 seats sold</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₹15,500</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₹2,000 per sale</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7–8 seats sold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₹16,500</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₹3,000 per sale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9 seats sold</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₹17,500</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₹4,000 per sale</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10 seats sold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Not bookable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N/A</w:t>
            </w:r>
          </w:p>
        </w:tc>
      </w:tr>
    </w:tbl>
    <w:p>
      <w:pPr>
        <w:spacing w:after="0"/>
      </w:pPr>
    </w:p>
    <w:p>
      <w:pPr>
        <w:widowControl/>
      </w:pPr>
      <w:r>
        <w:rPr>
          <w:b w:val="0"/>
          <w:i w:val="0"/>
        </w:rPr>
        <w:t xml:space="preserve">These are </w:t>
      </w:r>
      <w:r>
        <w:rPr>
          <w:b/>
          <w:i w:val="0"/>
        </w:rPr>
        <w:t>illustrative tiers, not an instruction to raise every product to ₹17,500</w:t>
      </w:r>
      <w:r>
        <w:rPr>
          <w:b w:val="0"/>
          <w:i w:val="0"/>
        </w:rPr>
        <w:t>. Operator's offline rate is ₹15,000 in the example, so above-direct pricing may make TripRaft unattractive. Require business approval for a max price, compare net contribution after fees, and lower price when departure is near and inventory is at risk—if contractually allowed. Staged promotions, membership offers, operator-funded discounts and bundled value may outperform simple price increases.</w:t>
      </w:r>
    </w:p>
    <w:p>
      <w:pPr>
        <w:widowControl/>
      </w:pPr>
      <w:r>
        <w:rPr>
          <w:b/>
          <w:i w:val="0"/>
        </w:rPr>
        <w:t>Guardrails:</w:t>
      </w:r>
      <w:r>
        <w:rPr>
          <w:b w:val="0"/>
          <w:i w:val="0"/>
        </w:rPr>
        <w:t xml:space="preserve"> recompute based on actual confirmed data; never increase a user's quote solely because they refresh/search repeatedly; keep the displayed price consistent for the same eligibility and quote window; version pricing rules; show price breakdown before purchase; do not invent scarce seats, savings or urgency. India's 2023 dark-pattern guidance explicitly addresses false urgency and drip pricing </w:t>
      </w:r>
      <w:r>
        <w:rPr>
          <w:b w:val="0"/>
          <w:i w:val="0"/>
        </w:rPr>
        <w:t>[</w:t>
      </w:r>
      <w:r>
        <w:rPr>
          <w:b w:val="0"/>
          <w:i w:val="0"/>
        </w:rPr>
        <w:t>R9].</w:t>
      </w:r>
    </w:p>
    <w:p>
      <w:pPr>
        <w:pStyle w:val="Heading2"/>
      </w:pPr>
      <w:r>
        <w:rPr>
          <w:b w:val="0"/>
          <w:i w:val="0"/>
        </w:rPr>
        <w:t>21. Price quote and expiry contract</w:t>
      </w:r>
    </w:p>
    <w:p>
      <w:pPr>
        <w:widowControl/>
      </w:pPr>
      <w:r>
        <w:rPr>
          <w:b w:val="0"/>
          <w:i w:val="0"/>
        </w:rPr>
        <w:t xml:space="preserve">The pricing service should return one immutable quote identifier with </w:t>
      </w:r>
      <w:r>
        <w:rPr>
          <w:rFonts w:ascii="Consolas" w:hAnsi="Consolas"/>
          <w:b w:val="0"/>
          <w:i w:val="0"/>
          <w:color w:val="0C7A75"/>
          <w:sz w:val="16"/>
        </w:rPr>
        <w:t>departure_id</w:t>
      </w:r>
      <w:r>
        <w:rPr>
          <w:b w:val="0"/>
          <w:i w:val="0"/>
        </w:rPr>
        <w:t>, party composition, price version, supplier rate version, taxes/fees/discount components, currency, computed total, refund/cancellation terms, source timestamp and expiration. Checkout validates the quote again; if a supplier's price changed, the customer must be shown the difference and actively accept the new amount. A confirmed booking retains the purchase-time price snapshot even if tomorrow's dynamic price changes.</w:t>
      </w:r>
    </w:p>
    <w:p>
      <w:pPr>
        <w:pStyle w:val="Heading2"/>
      </w:pPr>
      <w:r>
        <w:rPr>
          <w:b w:val="0"/>
          <w:i w:val="0"/>
        </w:rPr>
        <w:t>22. Promotions and loyalty</w:t>
      </w:r>
    </w:p>
    <w:p>
      <w:pPr>
        <w:widowControl/>
      </w:pPr>
      <w:r>
        <w:rPr>
          <w:b w:val="0"/>
          <w:i w:val="0"/>
        </w:rPr>
        <w:t>Promotions need a funding party (</w:t>
      </w:r>
      <w:r>
        <w:rPr>
          <w:rFonts w:ascii="Consolas" w:hAnsi="Consolas"/>
          <w:b w:val="0"/>
          <w:i w:val="0"/>
          <w:color w:val="0C7A75"/>
          <w:sz w:val="16"/>
        </w:rPr>
        <w:t>TRIPRAFT</w:t>
      </w:r>
      <w:r>
        <w:rPr>
          <w:b w:val="0"/>
          <w:i w:val="0"/>
        </w:rPr>
        <w:t xml:space="preserve">, </w:t>
      </w:r>
      <w:r>
        <w:rPr>
          <w:rFonts w:ascii="Consolas" w:hAnsi="Consolas"/>
          <w:b w:val="0"/>
          <w:i w:val="0"/>
          <w:color w:val="0C7A75"/>
          <w:sz w:val="16"/>
        </w:rPr>
        <w:t>SUPPLIER</w:t>
      </w:r>
      <w:r>
        <w:rPr>
          <w:b w:val="0"/>
          <w:i w:val="0"/>
        </w:rPr>
        <w:t xml:space="preserve">, </w:t>
      </w:r>
      <w:r>
        <w:rPr>
          <w:rFonts w:ascii="Consolas" w:hAnsi="Consolas"/>
          <w:b w:val="0"/>
          <w:i w:val="0"/>
          <w:color w:val="0C7A75"/>
          <w:sz w:val="16"/>
        </w:rPr>
        <w:t>SHARED</w:t>
      </w:r>
      <w:r>
        <w:rPr>
          <w:b w:val="0"/>
          <w:i w:val="0"/>
        </w:rPr>
        <w:t>), limits, validity, eligibility, stacking policy and redemption history. Example: sell ₹15,000 package at ₹14,500 by funding a ₹500 coupon from TripRaft's ₹1,500 gross margin, leaving ₹1,000 gross contribution. Store promoted price and reference price with supporting evidence; show terms and exclusions. Add repeat-customer credits and referral rewards only after fraud prevention and unit economics are understood.</w:t>
      </w:r>
    </w:p>
    <w:p>
      <w:pPr>
        <w:pStyle w:val="Heading2"/>
      </w:pPr>
      <w:r>
        <w:rPr>
          <w:b w:val="0"/>
          <w:i w:val="0"/>
        </w:rPr>
        <w:t>23. Currency conversion and payment currencies</w:t>
      </w:r>
    </w:p>
    <w:p>
      <w:pPr>
        <w:widowControl/>
      </w:pPr>
      <w:r>
        <w:rPr>
          <w:b w:val="0"/>
          <w:i w:val="0"/>
        </w:rPr>
        <w:t xml:space="preserve">TripRaft already discussed converting a user-entered rate such as USD/INR. Make a strong distinction among (a) rough local-currency estimate for browsing, (b) supplier contract currency, and (c) actual checkout/settlement currency. Frankfurter provides reference FX rates updated daily and is not a real-time foreign-exchange trade quote </w:t>
      </w:r>
      <w:r>
        <w:rPr>
          <w:b w:val="0"/>
          <w:i w:val="0"/>
        </w:rPr>
        <w:t>[</w:t>
      </w:r>
      <w:r>
        <w:rPr>
          <w:b w:val="0"/>
          <w:i w:val="0"/>
        </w:rPr>
        <w:t xml:space="preserve">R10]. Show rate timestamp and a disclaimer: </w:t>
      </w:r>
      <w:r>
        <w:rPr>
          <w:b/>
          <w:i w:val="0"/>
        </w:rPr>
        <w:t>'Estimate only; final payable price is the checkout currency amount.'</w:t>
      </w:r>
      <w:r>
        <w:rPr>
          <w:b w:val="0"/>
          <w:i w:val="0"/>
        </w:rPr>
        <w:t xml:space="preserve"> Never convert an estimate into a binding merchant settlement promise without gateway FX handling and contractual approval.</w:t>
      </w:r>
    </w:p>
    <w:p>
      <w:r>
        <w:br w:type="page"/>
      </w:r>
    </w:p>
    <w:p>
      <w:pPr>
        <w:pStyle w:val="Heading1"/>
      </w:pPr>
      <w:r>
        <w:rPr>
          <w:b w:val="0"/>
          <w:i w:val="0"/>
        </w:rPr>
        <w:t>PART VI — CHECKOUT, PAYMENTS &amp; SUPPLIER PAYOUTS</w:t>
      </w:r>
    </w:p>
    <w:p>
      <w:pPr>
        <w:pStyle w:val="Heading2"/>
      </w:pPr>
      <w:r>
        <w:rPr>
          <w:b w:val="0"/>
          <w:i w:val="0"/>
        </w:rPr>
        <w:t>24. End-to-end booking and payment states</w:t>
      </w:r>
    </w:p>
    <w:p>
      <w:pPr>
        <w:widowControl/>
      </w:pPr>
      <w:r>
        <w:rPr>
          <w:b w:val="0"/>
          <w:i w:val="0"/>
        </w:rPr>
        <w:t xml:space="preserve">Proposed booking state machine: </w:t>
      </w:r>
      <w:r>
        <w:rPr>
          <w:rFonts w:ascii="Consolas" w:hAnsi="Consolas"/>
          <w:b w:val="0"/>
          <w:i w:val="0"/>
          <w:color w:val="0C7A75"/>
          <w:sz w:val="16"/>
        </w:rPr>
        <w:t>DRAFT -&gt; QUOTED -&gt; HELD -&gt; AWAITING_PAYMENT -&gt; PAID_PENDING_SUPPLIER -&gt; CONFIRMED -&gt; FULFILLED</w:t>
      </w:r>
      <w:r>
        <w:rPr>
          <w:b w:val="0"/>
          <w:i w:val="0"/>
        </w:rPr>
        <w:t xml:space="preserve">, with terminal/cross states </w:t>
      </w:r>
      <w:r>
        <w:rPr>
          <w:rFonts w:ascii="Consolas" w:hAnsi="Consolas"/>
          <w:b w:val="0"/>
          <w:i w:val="0"/>
          <w:color w:val="0C7A75"/>
          <w:sz w:val="16"/>
        </w:rPr>
        <w:t>EXPIRED</w:t>
      </w:r>
      <w:r>
        <w:rPr>
          <w:b w:val="0"/>
          <w:i w:val="0"/>
        </w:rPr>
        <w:t xml:space="preserve">, </w:t>
      </w:r>
      <w:r>
        <w:rPr>
          <w:rFonts w:ascii="Consolas" w:hAnsi="Consolas"/>
          <w:b w:val="0"/>
          <w:i w:val="0"/>
          <w:color w:val="0C7A75"/>
          <w:sz w:val="16"/>
        </w:rPr>
        <w:t>REJECTED</w:t>
      </w:r>
      <w:r>
        <w:rPr>
          <w:b w:val="0"/>
          <w:i w:val="0"/>
        </w:rPr>
        <w:t xml:space="preserve">, </w:t>
      </w:r>
      <w:r>
        <w:rPr>
          <w:rFonts w:ascii="Consolas" w:hAnsi="Consolas"/>
          <w:b w:val="0"/>
          <w:i w:val="0"/>
          <w:color w:val="0C7A75"/>
          <w:sz w:val="16"/>
        </w:rPr>
        <w:t>CANCELLED</w:t>
      </w:r>
      <w:r>
        <w:rPr>
          <w:b w:val="0"/>
          <w:i w:val="0"/>
        </w:rPr>
        <w:t xml:space="preserve">, </w:t>
      </w:r>
      <w:r>
        <w:rPr>
          <w:rFonts w:ascii="Consolas" w:hAnsi="Consolas"/>
          <w:b w:val="0"/>
          <w:i w:val="0"/>
          <w:color w:val="0C7A75"/>
          <w:sz w:val="16"/>
        </w:rPr>
        <w:t>REFUND_PENDING</w:t>
      </w:r>
      <w:r>
        <w:rPr>
          <w:b w:val="0"/>
          <w:i w:val="0"/>
        </w:rPr>
        <w:t xml:space="preserve">, </w:t>
      </w:r>
      <w:r>
        <w:rPr>
          <w:rFonts w:ascii="Consolas" w:hAnsi="Consolas"/>
          <w:b w:val="0"/>
          <w:i w:val="0"/>
          <w:color w:val="0C7A75"/>
          <w:sz w:val="16"/>
        </w:rPr>
        <w:t>REFUNDED</w:t>
      </w:r>
      <w:r>
        <w:rPr>
          <w:b w:val="0"/>
          <w:i w:val="0"/>
        </w:rPr>
        <w:t xml:space="preserve">, </w:t>
      </w:r>
      <w:r>
        <w:rPr>
          <w:rFonts w:ascii="Consolas" w:hAnsi="Consolas"/>
          <w:b w:val="0"/>
          <w:i w:val="0"/>
          <w:color w:val="0C7A75"/>
          <w:sz w:val="16"/>
        </w:rPr>
        <w:t>DISPUTED</w:t>
      </w:r>
      <w:r>
        <w:rPr>
          <w:b w:val="0"/>
          <w:i w:val="0"/>
        </w:rPr>
        <w:t>. Each transition must be backend-authorized, auditable and safe to retry. A provider may have different vocabulary; map it through an adapter.</w:t>
      </w:r>
    </w:p>
    <w:p>
      <w:pPr>
        <w:widowControl/>
      </w:pPr>
      <w:r>
        <w:rPr>
          <w:b/>
          <w:i w:val="0"/>
        </w:rPr>
        <w:t>Checkout sequence:</w:t>
      </w:r>
      <w:r>
        <w:rPr>
          <w:b w:val="0"/>
          <w:i w:val="0"/>
        </w:rPr>
        <w:t xml:space="preserve"> (1) get supplier availability and quote, (2) create atomic local/provider hold, (3) create server-side gateway order with amount/currency/idempotency key, (4) redirect to hosted/embedded checkout, (5) receive signed provider callback and webhook, (6) re-fetch/verify provider status, order identifier, amount, currency and capture/success, (7) confirm supplier capacity, (8) issue booking/voucher, (9) schedule eligible supplier payment, and (10) notify traveler and partner. Razorpay documents server-side signature verification and checking that the payment is captured </w:t>
      </w:r>
      <w:r>
        <w:rPr>
          <w:b w:val="0"/>
          <w:i w:val="0"/>
        </w:rPr>
        <w:t>[</w:t>
      </w:r>
      <w:r>
        <w:rPr>
          <w:b w:val="0"/>
          <w:i w:val="0"/>
        </w:rPr>
        <w:t>R5].</w:t>
      </w:r>
    </w:p>
    <w:p>
      <w:pPr>
        <w:widowControl/>
      </w:pPr>
      <w:r>
        <w:rPr>
          <w:b w:val="0"/>
          <w:i w:val="0"/>
        </w:rPr>
        <w:t xml:space="preserve">Never mark a booking paid from an unverified client success screen. Webhooks can arrive more than once or out of order; store </w:t>
      </w:r>
      <w:r>
        <w:rPr>
          <w:rFonts w:ascii="Consolas" w:hAnsi="Consolas"/>
          <w:b w:val="0"/>
          <w:i w:val="0"/>
          <w:color w:val="0C7A75"/>
          <w:sz w:val="16"/>
        </w:rPr>
        <w:t>provider_event_id</w:t>
      </w:r>
      <w:r>
        <w:rPr>
          <w:b w:val="0"/>
          <w:i w:val="0"/>
        </w:rPr>
        <w:t xml:space="preserve"> in an inbox with a uniqueness constraint, verify HMAC signatures on the raw payload, enqueue processing, return successful receipt only after durable capture, and reconcile via provider APIs. The payment provider—not a TripRaft employee manually refreshing a bank screen—is the primary source for payment processing state.</w:t>
      </w:r>
    </w:p>
    <w:p>
      <w:pPr>
        <w:pStyle w:val="Heading2"/>
      </w:pPr>
      <w:r>
        <w:rPr>
          <w:b w:val="0"/>
          <w:i w:val="0"/>
        </w:rPr>
        <w:t>25. Who owns the payment and where does money go?</w:t>
      </w:r>
    </w:p>
    <w:p>
      <w:pPr>
        <w:widowControl/>
      </w:pPr>
      <w:r>
        <w:rPr>
          <w:b w:val="0"/>
          <w:i w:val="0"/>
        </w:rPr>
        <w:t>Possible payment architectures: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092"/>
        <w:gridCol w:w="2126"/>
        <w:gridCol w:w="2126"/>
        <w:gridCol w:w="2319"/>
      </w:tblGrid>
      <w:tr>
        <w:trPr>
          <w:tblHeader w:val="true"/>
        </w:trPr>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Model</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Customer charges</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Supplier gets money</w:t>
            </w:r>
          </w:p>
        </w:tc>
        <w:tc>
          <w:tcPr>
            <w:tcW w:type="dxa" w:w="2416"/>
            <w:vAlign w:val="center"/>
            <w:tcMar>
              <w:top w:w="85" w:type="dxa"/>
              <w:start w:w="95" w:type="dxa"/>
              <w:bottom w:w="85" w:type="dxa"/>
              <w:end w:w="95" w:type="dxa"/>
            </w:tcMar>
            <w:shd w:fill="17324D"/>
          </w:tcPr>
          <w:p>
            <w:pPr>
              <w:pStyle w:val="TableText"/>
              <w:spacing w:after="0"/>
            </w:pPr>
            <w:r>
              <w:rPr>
                <w:b/>
                <w:color w:val="FFFFFF"/>
                <w:sz w:val="15"/>
              </w:rPr>
            </w:r>
            <w:r>
              <w:rPr>
                <w:b/>
                <w:i w:val="0"/>
                <w:color w:val="FFFFFF"/>
                <w:sz w:val="15"/>
              </w:rPr>
              <w:t>Tradeoff</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Referral / affiliate</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External provider / supplier</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External provider handles</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Fast launch, limited checkout control</w:t>
            </w:r>
          </w:p>
        </w:tc>
      </w:tr>
      <w:tr>
        <w:trPr>
          <w:cantSplit/>
        </w:trPr>
        <w:tc>
          <w:tcPr>
            <w:tcW w:type="dxa" w:w="3092"/>
            <w:vAlign w:val="center"/>
            <w:tcMar>
              <w:top w:w="85" w:type="dxa"/>
              <w:start w:w="95" w:type="dxa"/>
              <w:bottom w:w="85" w:type="dxa"/>
              <w:end w:w="95" w:type="dxa"/>
            </w:tcMar>
            <w:shd w:fill="F3F7FA"/>
          </w:tcPr>
          <w:p>
            <w:pPr>
              <w:pStyle w:val="TableText"/>
              <w:spacing w:after="0"/>
            </w:pPr>
            <w:r>
              <w:rPr>
                <w:sz w:val="15"/>
              </w:rPr>
            </w:r>
            <w:r>
              <w:rPr>
                <w:b w:val="0"/>
                <w:i w:val="0"/>
                <w:sz w:val="15"/>
              </w:rPr>
              <w:t>Marketplace split payments</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Payment processor under approved platform/seller model</w:t>
            </w:r>
          </w:p>
        </w:tc>
        <w:tc>
          <w:tcPr>
            <w:tcW w:type="dxa" w:w="2126"/>
            <w:vAlign w:val="center"/>
            <w:tcMar>
              <w:top w:w="85" w:type="dxa"/>
              <w:start w:w="95" w:type="dxa"/>
              <w:bottom w:w="85" w:type="dxa"/>
              <w:end w:w="95" w:type="dxa"/>
            </w:tcMar>
            <w:shd w:fill="F3F7FA"/>
          </w:tcPr>
          <w:p>
            <w:pPr>
              <w:pStyle w:val="TableText"/>
              <w:spacing w:after="0"/>
            </w:pPr>
            <w:r>
              <w:rPr>
                <w:sz w:val="15"/>
              </w:rPr>
            </w:r>
            <w:r>
              <w:rPr>
                <w:b w:val="0"/>
                <w:i w:val="0"/>
                <w:sz w:val="15"/>
              </w:rPr>
              <w:t>Connected vendor account / linked bank settlement</w:t>
            </w:r>
          </w:p>
        </w:tc>
        <w:tc>
          <w:tcPr>
            <w:tcW w:type="dxa" w:w="2319"/>
            <w:vAlign w:val="center"/>
            <w:tcMar>
              <w:top w:w="85" w:type="dxa"/>
              <w:start w:w="95" w:type="dxa"/>
              <w:bottom w:w="85" w:type="dxa"/>
              <w:end w:w="95" w:type="dxa"/>
            </w:tcMar>
            <w:shd w:fill="F3F7FA"/>
          </w:tcPr>
          <w:p>
            <w:pPr>
              <w:pStyle w:val="TableText"/>
              <w:spacing w:after="0"/>
            </w:pPr>
            <w:r>
              <w:rPr>
                <w:sz w:val="15"/>
              </w:rPr>
            </w:r>
            <w:r>
              <w:rPr>
                <w:b w:val="0"/>
                <w:i w:val="0"/>
                <w:sz w:val="15"/>
              </w:rPr>
              <w:t>One on-site checkout, stronger compliance/ops burden</w:t>
            </w:r>
          </w:p>
        </w:tc>
      </w:tr>
      <w:tr>
        <w:trPr>
          <w:cantSplit/>
        </w:trPr>
        <w:tc>
          <w:tcPr>
            <w:tcW w:type="dxa" w:w="3092"/>
            <w:vAlign w:val="center"/>
            <w:tcMar>
              <w:top w:w="85" w:type="dxa"/>
              <w:start w:w="95" w:type="dxa"/>
              <w:bottom w:w="85" w:type="dxa"/>
              <w:end w:w="95" w:type="dxa"/>
            </w:tcMar>
          </w:tcPr>
          <w:p>
            <w:pPr>
              <w:pStyle w:val="TableText"/>
              <w:spacing w:after="0"/>
            </w:pPr>
            <w:r>
              <w:rPr>
                <w:sz w:val="15"/>
              </w:rPr>
            </w:r>
            <w:r>
              <w:rPr>
                <w:b w:val="0"/>
                <w:i w:val="0"/>
                <w:sz w:val="15"/>
              </w:rPr>
              <w:t>TripRaft merchant model</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TripRaft business is merchant as permitted</w:t>
            </w:r>
          </w:p>
        </w:tc>
        <w:tc>
          <w:tcPr>
            <w:tcW w:type="dxa" w:w="2126"/>
            <w:vAlign w:val="center"/>
            <w:tcMar>
              <w:top w:w="85" w:type="dxa"/>
              <w:start w:w="95" w:type="dxa"/>
              <w:bottom w:w="85" w:type="dxa"/>
              <w:end w:w="95" w:type="dxa"/>
            </w:tcMar>
          </w:tcPr>
          <w:p>
            <w:pPr>
              <w:pStyle w:val="TableText"/>
              <w:spacing w:after="0"/>
            </w:pPr>
            <w:r>
              <w:rPr>
                <w:sz w:val="15"/>
              </w:rPr>
            </w:r>
            <w:r>
              <w:rPr>
                <w:b w:val="0"/>
                <w:i w:val="0"/>
                <w:sz w:val="15"/>
              </w:rPr>
              <w:t>TripRaft pays suppliers according to contracts</w:t>
            </w:r>
          </w:p>
        </w:tc>
        <w:tc>
          <w:tcPr>
            <w:tcW w:type="dxa" w:w="2319"/>
            <w:vAlign w:val="center"/>
            <w:tcMar>
              <w:top w:w="85" w:type="dxa"/>
              <w:start w:w="95" w:type="dxa"/>
              <w:bottom w:w="85" w:type="dxa"/>
              <w:end w:w="95" w:type="dxa"/>
            </w:tcMar>
          </w:tcPr>
          <w:p>
            <w:pPr>
              <w:pStyle w:val="TableText"/>
              <w:spacing w:after="0"/>
            </w:pPr>
            <w:r>
              <w:rPr>
                <w:sz w:val="15"/>
              </w:rPr>
            </w:r>
            <w:r>
              <w:rPr>
                <w:b w:val="0"/>
                <w:i w:val="0"/>
                <w:sz w:val="15"/>
              </w:rPr>
              <w:t>Maximum commercial control, potentially more liability</w:t>
            </w:r>
          </w:p>
        </w:tc>
      </w:tr>
    </w:tbl>
    <w:p>
      <w:pPr>
        <w:spacing w:after="0"/>
      </w:pPr>
    </w:p>
    <w:p>
      <w:pPr>
        <w:widowControl/>
      </w:pPr>
      <w:r>
        <w:rPr>
          <w:b/>
          <w:i w:val="0"/>
        </w:rPr>
        <w:t>Do not assume all gateways support all geographies.</w:t>
      </w:r>
      <w:r>
        <w:rPr>
          <w:b w:val="0"/>
          <w:i w:val="0"/>
        </w:rPr>
        <w:t xml:space="preserve"> Razorpay Route describes linked accounts, transfers, scheduled/on-hold settlements and webhooks </w:t>
      </w:r>
      <w:r>
        <w:rPr>
          <w:b w:val="0"/>
          <w:i w:val="0"/>
        </w:rPr>
        <w:t>[</w:t>
      </w:r>
      <w:r>
        <w:rPr>
          <w:b w:val="0"/>
          <w:i w:val="0"/>
        </w:rPr>
        <w:t xml:space="preserve">R4]. Cashfree Easy Split describes vendor accounts, split orders, vendor settlements and reconciliation </w:t>
      </w:r>
      <w:r>
        <w:rPr>
          <w:b w:val="0"/>
          <w:i w:val="0"/>
        </w:rPr>
        <w:t>[</w:t>
      </w:r>
      <w:r>
        <w:rPr>
          <w:b w:val="0"/>
          <w:i w:val="0"/>
        </w:rPr>
        <w:t xml:space="preserve">R6]. Stripe Connect documents separate charges/transfers and country/region restrictions </w:t>
      </w:r>
      <w:r>
        <w:rPr>
          <w:b w:val="0"/>
          <w:i w:val="0"/>
        </w:rPr>
        <w:t>[</w:t>
      </w:r>
      <w:r>
        <w:rPr>
          <w:b w:val="0"/>
          <w:i w:val="0"/>
        </w:rPr>
        <w:t>R7]. Select provider only after confirming TripRaft's incorporation/bank country, supplier countries, tax treatment, merchant-of-record structure, travel eligibility, risk and refund exposure. Use the payment provider's compliant funds flow; do not invent an unlicensed escrow business.</w:t>
      </w:r>
    </w:p>
    <w:p>
      <w:pPr>
        <w:pStyle w:val="Heading2"/>
      </w:pPr>
      <w:r>
        <w:rPr>
          <w:b w:val="0"/>
          <w:i w:val="0"/>
        </w:rPr>
        <w:t>26. Supplier payout schedule and verification</w:t>
      </w:r>
    </w:p>
    <w:p>
      <w:pPr>
        <w:widowControl/>
      </w:pPr>
      <w:r>
        <w:rPr>
          <w:b w:val="0"/>
          <w:i w:val="0"/>
        </w:rPr>
        <w:t xml:space="preserve">Sample contract for ₹13,500 supplier net rate: 30% (₹4,050) after payment and confirmed supplier acceptance; remaining 70% (₹9,450) at an agreed pre-departure milestone. </w:t>
      </w:r>
      <w:r>
        <w:rPr>
          <w:b/>
          <w:i w:val="0"/>
        </w:rPr>
        <w:t>This is a proposed commercial policy, not a provider guarantee.</w:t>
      </w:r>
      <w:r>
        <w:rPr>
          <w:b w:val="0"/>
          <w:i w:val="0"/>
        </w:rPr>
        <w:t xml:space="preserve"> Some operators require 100% in advance; others accept after-trip settlement. Split timing must be allowable under contracts and provider rules, and available captured funds must cover eligible transfers and refund obligations.</w:t>
      </w:r>
    </w:p>
    <w:p>
      <w:pPr>
        <w:widowControl/>
      </w:pPr>
      <w:r>
        <w:rPr>
          <w:b w:val="0"/>
          <w:i w:val="0"/>
        </w:rPr>
        <w:t>Payout sequence: supplier completes verification -&gt; payout instruction created -&gt; scheduled -&gt; submitted -&gt; processing -&gt; processor marked successful -&gt; bank credit reconciled. The bank credit is not identical to a successful API call. Track vendor linked-account ID, target bank token, settlement/payout ID, status, gross/net transfer, fees, timestamp, reference/UTR, reversals and reconciliation evidence. Do not show 'received in bank' solely because the gateway accepted the payout instruction.</w:t>
      </w:r>
    </w:p>
    <w:p>
      <w:pPr>
        <w:pStyle w:val="Heading2"/>
      </w:pPr>
      <w:r>
        <w:rPr>
          <w:b w:val="0"/>
          <w:i w:val="0"/>
        </w:rPr>
        <w:t>27. Verify the agent's bank account</w:t>
      </w:r>
    </w:p>
    <w:p>
      <w:pPr>
        <w:widowControl/>
      </w:pPr>
      <w:r>
        <w:rPr>
          <w:b w:val="0"/>
          <w:i w:val="0"/>
        </w:rPr>
        <w:t xml:space="preserve">Use provider-hosted supplier onboarding wherever available. Obtain required seller KYC/KYB and verified beneficiary account details; validate name, account/IFSC for India or supported regional equivalents. Store provider account IDs, verification state, masked bank data and verification timestamps, not unnecessary raw documents. Support </w:t>
      </w:r>
      <w:r>
        <w:rPr>
          <w:rFonts w:ascii="Consolas" w:hAnsi="Consolas"/>
          <w:b w:val="0"/>
          <w:i w:val="0"/>
          <w:color w:val="0C7A75"/>
          <w:sz w:val="16"/>
        </w:rPr>
        <w:t>VERIFICATION_PENDING</w:t>
      </w:r>
      <w:r>
        <w:rPr>
          <w:b w:val="0"/>
          <w:i w:val="0"/>
        </w:rPr>
        <w:t xml:space="preserve">, </w:t>
      </w:r>
      <w:r>
        <w:rPr>
          <w:rFonts w:ascii="Consolas" w:hAnsi="Consolas"/>
          <w:b w:val="0"/>
          <w:i w:val="0"/>
          <w:color w:val="0C7A75"/>
          <w:sz w:val="16"/>
        </w:rPr>
        <w:t>VERIFIED</w:t>
      </w:r>
      <w:r>
        <w:rPr>
          <w:b w:val="0"/>
          <w:i w:val="0"/>
        </w:rPr>
        <w:t xml:space="preserve">, </w:t>
      </w:r>
      <w:r>
        <w:rPr>
          <w:rFonts w:ascii="Consolas" w:hAnsi="Consolas"/>
          <w:b w:val="0"/>
          <w:i w:val="0"/>
          <w:color w:val="0C7A75"/>
          <w:sz w:val="16"/>
        </w:rPr>
        <w:t>REJECTED</w:t>
      </w:r>
      <w:r>
        <w:rPr>
          <w:b w:val="0"/>
          <w:i w:val="0"/>
        </w:rPr>
        <w:t xml:space="preserve">, </w:t>
      </w:r>
      <w:r>
        <w:rPr>
          <w:rFonts w:ascii="Consolas" w:hAnsi="Consolas"/>
          <w:b w:val="0"/>
          <w:i w:val="0"/>
          <w:color w:val="0C7A75"/>
          <w:sz w:val="16"/>
        </w:rPr>
        <w:t>SUSPENDED</w:t>
      </w:r>
      <w:r>
        <w:rPr>
          <w:b w:val="0"/>
          <w:i w:val="0"/>
        </w:rPr>
        <w:t>; a failed verification blocks payouts and triggers a supplier-facing remediation task.</w:t>
      </w:r>
    </w:p>
    <w:p>
      <w:pPr>
        <w:pStyle w:val="Heading2"/>
      </w:pPr>
      <w:r>
        <w:rPr>
          <w:b w:val="0"/>
          <w:i w:val="0"/>
        </w:rPr>
        <w:t>28. Refunds, cancellations, chargebacks and bad trips</w:t>
      </w:r>
    </w:p>
    <w:p>
      <w:pPr>
        <w:widowControl/>
      </w:pPr>
      <w:r>
        <w:rPr>
          <w:b w:val="0"/>
          <w:i w:val="0"/>
        </w:rPr>
        <w:t>Cancellation policies belong to the supplier contract and the customer-facing quote. The refund service computes eligible refund, fee retention, vendor liability and already-paid advance. If a supplier has received funds, TripRaft may need recovery or reserve balance according to provider capabilities and contract; do not promise an automatic clawback without verifying support. Handle partial cancellations, traveler-count changes, supplier cancellations, no-shows, forced itinerary changes, disruption, chargebacks and disputed services.</w:t>
      </w:r>
    </w:p>
    <w:p>
      <w:pPr>
        <w:widowControl/>
      </w:pPr>
      <w:r>
        <w:rPr>
          <w:b w:val="0"/>
          <w:i w:val="0"/>
        </w:rPr>
        <w:t>Maintain a double-entry finance ledger or financially reconcilable subledger for charges, platform fees, vendor payable, refunds, payouts, reversals and reserves. Reconcile daily with gateway balance transactions/settlement files and finance bank statements; distinguish gross bookings, net recognized revenue, customer liabilities and cash-in-bank.</w:t>
      </w:r>
    </w:p>
    <w:p>
      <w:pPr>
        <w:pStyle w:val="Heading2"/>
      </w:pPr>
      <w:r>
        <w:rPr>
          <w:b w:val="0"/>
          <w:i w:val="0"/>
        </w:rPr>
        <w:t>29. Saved cards, consent and PCI scope</w:t>
      </w:r>
    </w:p>
    <w:p>
      <w:pPr>
        <w:widowControl/>
      </w:pPr>
      <w:r>
        <w:rPr>
          <w:b w:val="0"/>
          <w:i w:val="0"/>
        </w:rPr>
        <w:t xml:space="preserve">Customer chooses 'Save for future trips' only when a provider-compliant option is available. Payment provider stores or tokenizes the sensitive card credentials; TripRaft stores a payment-method token/reference, payment processor customer reference, brand, safe last four digits, expiration metadata as needed, ownership and consent timestamps. Provide list, remove, and default-card controls. Never store full PAN, PIN, CVV/CVC, raw magnetic track data or copied card screenshots. PCI DSS forbids retention of card verification codes after authorization </w:t>
      </w:r>
      <w:r>
        <w:rPr>
          <w:b w:val="0"/>
          <w:i w:val="0"/>
        </w:rPr>
        <w:t>[</w:t>
      </w:r>
      <w:r>
        <w:rPr>
          <w:b w:val="0"/>
          <w:i w:val="0"/>
        </w:rPr>
        <w:t xml:space="preserve">R8]. RBI restrictions govern storage of actual card-on-file data in India </w:t>
      </w:r>
      <w:r>
        <w:rPr>
          <w:b w:val="0"/>
          <w:i w:val="0"/>
        </w:rPr>
        <w:t>[</w:t>
      </w:r>
      <w:r>
        <w:rPr>
          <w:b w:val="0"/>
          <w:i w:val="0"/>
        </w:rPr>
        <w:t>R11].</w:t>
      </w:r>
    </w:p>
    <w:p>
      <w:pPr>
        <w:widowControl/>
      </w:pPr>
      <w:r>
        <w:rPr>
          <w:b w:val="0"/>
          <w:i w:val="0"/>
        </w:rPr>
        <w:t>A saved card does not mean unlimited charging rights. Future charges follow consent, payment-method mandate, strong customer authentication / local rules and supplier terms. Vendors never receive a user's card credentials. Use hosted checkout/fields rather than card forms that route sensitive numbers through TripRaft servers.</w:t>
      </w:r>
    </w:p>
    <w:p>
      <w:r>
        <w:br w:type="page"/>
      </w:r>
    </w:p>
    <w:p>
      <w:pPr>
        <w:pStyle w:val="Heading1"/>
      </w:pPr>
      <w:r>
        <w:rPr>
          <w:b w:val="0"/>
          <w:i w:val="0"/>
        </w:rPr>
        <w:t>PART VII — AI AND TRAVEL INTELLIGENCE</w:t>
      </w:r>
    </w:p>
    <w:p>
      <w:pPr>
        <w:pStyle w:val="Heading2"/>
      </w:pPr>
      <w:r>
        <w:rPr>
          <w:b w:val="0"/>
          <w:i w:val="0"/>
        </w:rPr>
        <w:t>30. Scout, Crew and planner–executor architecture</w:t>
      </w:r>
    </w:p>
    <w:p>
      <w:pPr>
        <w:widowControl/>
      </w:pPr>
      <w:r>
        <w:rPr>
          <w:b/>
          <w:i w:val="0"/>
        </w:rPr>
        <w:t>Scout (read/research):</w:t>
      </w:r>
      <w:r>
        <w:rPr>
          <w:b w:val="0"/>
          <w:i w:val="0"/>
        </w:rPr>
        <w:t xml:space="preserve"> determine trip intent, party/budget/dates, rank catalog places, combine exact SQL filters with semantic retrieval, read verified destination sources, obtain current weather/maps/FX and query supplier availability adapters. </w:t>
      </w:r>
      <w:r>
        <w:rPr>
          <w:b/>
          <w:i w:val="0"/>
        </w:rPr>
        <w:t>Crew (action/coordination):</w:t>
      </w:r>
      <w:r>
        <w:rPr>
          <w:b w:val="0"/>
          <w:i w:val="0"/>
        </w:rPr>
        <w:t xml:space="preserve"> propose editable itinerary, create polls, manage checklists, add expenses, request availability, prepare quotes, and route approved actions to bookers or organizers. A Planner orchestrates tasks with persistent trip context and structured outputs; an Executor invokes typed tools with explicit authorization and audit logs.</w:t>
      </w:r>
    </w:p>
    <w:p>
      <w:pPr>
        <w:widowControl/>
      </w:pPr>
      <w:r>
        <w:rPr>
          <w:b w:val="0"/>
          <w:i w:val="0"/>
        </w:rPr>
        <w:t xml:space="preserve">Important distinction: AI may </w:t>
      </w:r>
      <w:r>
        <w:rPr>
          <w:b/>
          <w:i w:val="0"/>
        </w:rPr>
        <w:t>recommend</w:t>
      </w:r>
      <w:r>
        <w:rPr>
          <w:b w:val="0"/>
          <w:i w:val="0"/>
        </w:rPr>
        <w:t xml:space="preserve"> a package based on destinations and preferences, but it may not claim an actual seat exists until the booking service returns verified supplier inventory. AI may draft booking instructions but cannot independently charge a card, release a supplier payout, expose passenger documents or cancel a confirmed tour without the necessary approved tool flow and user authorization.</w:t>
      </w:r>
    </w:p>
    <w:p>
      <w:pPr>
        <w:pStyle w:val="Heading2"/>
      </w:pPr>
      <w:r>
        <w:rPr>
          <w:b w:val="0"/>
          <w:i w:val="0"/>
        </w:rPr>
        <w:t>31. Retrieval, enrichment and source provenance</w:t>
      </w:r>
    </w:p>
    <w:p>
      <w:pPr>
        <w:widowControl/>
      </w:pPr>
      <w:r>
        <w:rPr>
          <w:b w:val="0"/>
          <w:i w:val="0"/>
        </w:rPr>
        <w:t xml:space="preserve">Use the existing tables as the basis of authoritative place entities, with </w:t>
      </w:r>
      <w:r>
        <w:rPr>
          <w:rFonts w:ascii="Consolas" w:hAnsi="Consolas"/>
          <w:b w:val="0"/>
          <w:i w:val="0"/>
          <w:color w:val="0C7A75"/>
          <w:sz w:val="16"/>
        </w:rPr>
        <w:t>place_id</w:t>
      </w:r>
      <w:r>
        <w:rPr>
          <w:b w:val="0"/>
          <w:i w:val="0"/>
        </w:rPr>
        <w:t xml:space="preserve"> linking itineraries and package inclusions. Hybrid retrieval can combine SQL filters, FTS/BM25 and embeddings when built, rerank by suitability, geography, season, open hours and trust confidence, and produce source citations. Your snapshot currently has an empty </w:t>
      </w:r>
      <w:r>
        <w:rPr>
          <w:rFonts w:ascii="Consolas" w:hAnsi="Consolas"/>
          <w:b w:val="0"/>
          <w:i w:val="0"/>
          <w:color w:val="0C7A75"/>
          <w:sz w:val="16"/>
        </w:rPr>
        <w:t>place_embeddings</w:t>
      </w:r>
      <w:r>
        <w:rPr>
          <w:b w:val="0"/>
          <w:i w:val="0"/>
        </w:rPr>
        <w:t xml:space="preserve"> table: document embedding generation as a proposed step rather than a completed asset.</w:t>
      </w:r>
    </w:p>
    <w:p>
      <w:pPr>
        <w:widowControl/>
      </w:pPr>
      <w:r>
        <w:rPr>
          <w:b w:val="0"/>
          <w:i w:val="0"/>
        </w:rPr>
        <w:t xml:space="preserve">Data enrichment must respect stable IDs, append/merge only verified updates, maintain </w:t>
      </w:r>
      <w:r>
        <w:rPr>
          <w:rFonts w:ascii="Consolas" w:hAnsi="Consolas"/>
          <w:b w:val="0"/>
          <w:i w:val="0"/>
          <w:color w:val="0C7A75"/>
          <w:sz w:val="16"/>
        </w:rPr>
        <w:t>field_verifications</w:t>
      </w:r>
      <w:r>
        <w:rPr>
          <w:b w:val="0"/>
          <w:i w:val="0"/>
        </w:rPr>
        <w:t xml:space="preserve">, </w:t>
      </w:r>
      <w:r>
        <w:rPr>
          <w:rFonts w:ascii="Consolas" w:hAnsi="Consolas"/>
          <w:b w:val="0"/>
          <w:i w:val="0"/>
          <w:color w:val="0C7A75"/>
          <w:sz w:val="16"/>
        </w:rPr>
        <w:t>data_sources</w:t>
      </w:r>
      <w:r>
        <w:rPr>
          <w:b w:val="0"/>
          <w:i w:val="0"/>
        </w:rPr>
        <w:t xml:space="preserve">, </w:t>
      </w:r>
      <w:r>
        <w:rPr>
          <w:rFonts w:ascii="Consolas" w:hAnsi="Consolas"/>
          <w:b w:val="0"/>
          <w:i w:val="0"/>
          <w:color w:val="0C7A75"/>
          <w:sz w:val="16"/>
        </w:rPr>
        <w:t>unresolved_fields</w:t>
      </w:r>
      <w:r>
        <w:rPr>
          <w:b w:val="0"/>
          <w:i w:val="0"/>
        </w:rPr>
        <w:t xml:space="preserve"> and </w:t>
      </w:r>
      <w:r>
        <w:rPr>
          <w:rFonts w:ascii="Consolas" w:hAnsi="Consolas"/>
          <w:b w:val="0"/>
          <w:i w:val="0"/>
          <w:color w:val="0C7A75"/>
          <w:sz w:val="16"/>
        </w:rPr>
        <w:t>data_change_log</w:t>
      </w:r>
      <w:r>
        <w:rPr>
          <w:b w:val="0"/>
          <w:i w:val="0"/>
        </w:rPr>
        <w:t>, and keep photos attribution/licensing. Never relabel guessed opening times, attraction prices or business URLs as verified. Extend catalog coverage without overwriting previous enrichment checkpoints.</w:t>
      </w:r>
    </w:p>
    <w:p>
      <w:pPr>
        <w:pStyle w:val="Heading2"/>
      </w:pPr>
      <w:r>
        <w:rPr>
          <w:b w:val="0"/>
          <w:i w:val="0"/>
        </w:rPr>
        <w:t>32. Routing, weather, currency, calendar and translation</w:t>
      </w:r>
    </w:p>
    <w:p>
      <w:pPr>
        <w:widowControl/>
      </w:pPr>
      <w:r>
        <w:rPr>
          <w:b w:val="0"/>
          <w:i w:val="0"/>
        </w:rPr>
        <w:t>Travel intelligence adapters should cover: maps/geocoding; routes and travel-time matrices; stop ordering with time windows and POI duration; public transport when supported; weather forecast; exchange-rate estimates; time zones; calendar synchronization; translation; attraction hours/ticketing. Routing quality depends on coordinates (only 3,321 of the supplied places have latitude filled), opening times, expected visit duration, transport mode and constraints. Begin with a regionally covered routing solution, not a false claim of optimized routes for all 22,925 places.</w:t>
      </w:r>
    </w:p>
    <w:p>
      <w:pPr>
        <w:widowControl/>
      </w:pPr>
      <w:r>
        <w:rPr>
          <w:b/>
          <w:i w:val="0"/>
        </w:rPr>
        <w:t>Provider strategy:</w:t>
      </w:r>
      <w:r>
        <w:rPr>
          <w:b w:val="0"/>
          <w:i w:val="0"/>
        </w:rPr>
        <w:t xml:space="preserve"> choose legally usable OSM/OpenStreetMap ecosystem data and a compliant routing engine such as OSRM/Valhalla plus OR-Tools for constraints; verify tile-service use and attribution. MET Norway publishes a global forecast product with licensing and service-identification requirements </w:t>
      </w:r>
      <w:r>
        <w:rPr>
          <w:b w:val="0"/>
          <w:i w:val="0"/>
        </w:rPr>
        <w:t>[</w:t>
      </w:r>
      <w:r>
        <w:rPr>
          <w:b w:val="0"/>
          <w:i w:val="0"/>
        </w:rPr>
        <w:t xml:space="preserve">R12]. Frankfurter supplies daily reference rates (not intraday live FX) </w:t>
      </w:r>
      <w:r>
        <w:rPr>
          <w:b w:val="0"/>
          <w:i w:val="0"/>
        </w:rPr>
        <w:t>[</w:t>
      </w:r>
      <w:r>
        <w:rPr>
          <w:b w:val="0"/>
          <w:i w:val="0"/>
        </w:rPr>
        <w:t xml:space="preserve">R10]. Commercial Google Maps/Routes usage requires attention to fees, caching, attributions and display restrictions </w:t>
      </w:r>
      <w:r>
        <w:rPr>
          <w:b w:val="0"/>
          <w:i w:val="0"/>
        </w:rPr>
        <w:t>[</w:t>
      </w:r>
      <w:r>
        <w:rPr>
          <w:b w:val="0"/>
          <w:i w:val="0"/>
        </w:rPr>
        <w:t>R13]. Build an abstraction interface for each provider to avoid vendor lock-in.</w:t>
      </w:r>
    </w:p>
    <w:p>
      <w:pPr>
        <w:pStyle w:val="Heading2"/>
      </w:pPr>
      <w:r>
        <w:rPr>
          <w:b w:val="0"/>
          <w:i w:val="0"/>
        </w:rPr>
        <w:t>33. AI safety, privacy and evaluation</w:t>
      </w:r>
    </w:p>
    <w:p>
      <w:pPr>
        <w:widowControl/>
      </w:pPr>
      <w:r>
        <w:rPr>
          <w:b w:val="0"/>
          <w:i w:val="0"/>
        </w:rPr>
        <w:t>Access-control filter every retrieval tool at the tenant/group/supplier level before any LLM sees private information. Never allow a group summarization agent to read supplier payout details, another group's travel documents or full payment methods. Treat untrusted website, supplier descriptions and chat text as data rather than executable instructions; tool calls require strict schemas and allowlists.</w:t>
      </w:r>
    </w:p>
    <w:p>
      <w:pPr>
        <w:widowControl/>
      </w:pPr>
      <w:r>
        <w:rPr>
          <w:b w:val="0"/>
          <w:i w:val="0"/>
        </w:rPr>
        <w:t>Evaluation set: itinerary groundedness, route feasibility, supplier availability accuracy, price math, hallucination frequency, personal data exposure, policy adherence, wrong-tenant access, unwanted duplicate actions, average AI tool calls, response latency and cost per completed itinerary. Record prompt/model versions, redacted traces, fallback behavior and user feedback. Use human confirmation and dry-run previews for bookings, refunds, payouts and organization-approved trips.</w:t>
      </w:r>
    </w:p>
    <w:p>
      <w:pPr>
        <w:pStyle w:val="Heading1"/>
      </w:pPr>
      <w:r>
        <w:rPr>
          <w:b w:val="0"/>
          <w:i w:val="0"/>
        </w:rPr>
        <w:t>PART VIII — TECHNICAL SYSTEM DESIGN</w:t>
      </w:r>
    </w:p>
    <w:p>
      <w:pPr>
        <w:pStyle w:val="Heading2"/>
      </w:pPr>
      <w:r>
        <w:rPr>
          <w:b w:val="0"/>
          <w:i w:val="0"/>
        </w:rPr>
        <w:t>34. Architecture recommendation</w:t>
      </w:r>
    </w:p>
    <w:p>
      <w:pPr>
        <w:widowControl/>
      </w:pPr>
      <w:r>
        <w:rPr>
          <w:b/>
          <w:i w:val="0"/>
        </w:rPr>
        <w:t>Frontend:</w:t>
      </w:r>
      <w:r>
        <w:rPr>
          <w:b w:val="0"/>
          <w:i w:val="0"/>
        </w:rPr>
        <w:t xml:space="preserve"> React/Next.js consumer web and partner/admin web; optional mobile clients later. </w:t>
      </w:r>
      <w:r>
        <w:rPr>
          <w:b/>
          <w:i w:val="0"/>
        </w:rPr>
        <w:t>Backend:</w:t>
      </w:r>
      <w:r>
        <w:rPr>
          <w:b w:val="0"/>
          <w:i w:val="0"/>
        </w:rPr>
        <w:t xml:space="preserve"> Python/FastAPI modular monolith initially, logically separated into Identity, Catalog, Collaboration, AI Orchestration, Supplier, Inventory, Pricing, Booking, Payments, Payouts, Messaging and Analytics modules. </w:t>
      </w:r>
      <w:r>
        <w:rPr>
          <w:b/>
          <w:i w:val="0"/>
        </w:rPr>
        <w:t>Storage:</w:t>
      </w:r>
      <w:r>
        <w:rPr>
          <w:b w:val="0"/>
          <w:i w:val="0"/>
        </w:rPr>
        <w:t xml:space="preserve"> existing canonical SQLite content source (preserved); PostgreSQL for writes/transactions; Redis for ephemeral cache, rate limits and transient coordination (not sole seat source); object storage for signed document URLs; search/vector index when needed; event queue for webhooks and background jobs. </w:t>
      </w:r>
      <w:r>
        <w:rPr>
          <w:b/>
          <w:i w:val="0"/>
        </w:rPr>
        <w:t>Realtime:</w:t>
      </w:r>
      <w:r>
        <w:rPr>
          <w:b w:val="0"/>
          <w:i w:val="0"/>
        </w:rPr>
        <w:t xml:space="preserve"> WebSocket or server-sent events (SSE) for itinerary changes, messages, and seats backed by authenticated user sessions.</w:t>
      </w:r>
    </w:p>
    <w:p>
      <w:pPr>
        <w:widowControl/>
      </w:pPr>
      <w:r>
        <w:rPr>
          <w:b w:val="0"/>
          <w:i w:val="0"/>
        </w:rPr>
        <w:t>Do not prematurely split into many microservices. Adopt strict API contracts, idempotent event handlers, tenant isolation and domain boundaries now, with extraction possible when scale/ownership justifies it. Use one customer identity system; users can have personal workspaces and memberships in organizations and supplier teams.</w:t>
      </w:r>
    </w:p>
    <w:p>
      <w:pPr>
        <w:pStyle w:val="Heading2"/>
      </w:pPr>
      <w:r>
        <w:rPr>
          <w:b w:val="0"/>
          <w:i w:val="0"/>
        </w:rPr>
        <w:t>35. Entity relationships and ownership</w:t>
      </w:r>
    </w:p>
    <w:p>
      <w:pPr>
        <w:widowControl/>
      </w:pPr>
      <w:r>
        <w:rPr>
          <w:rFonts w:ascii="Consolas" w:hAnsi="Consolas"/>
          <w:b w:val="0"/>
          <w:i w:val="0"/>
          <w:color w:val="0C7A75"/>
          <w:sz w:val="16"/>
        </w:rPr>
        <w:t>user</w:t>
      </w:r>
      <w:r>
        <w:rPr>
          <w:b w:val="0"/>
          <w:i w:val="0"/>
        </w:rPr>
        <w:t xml:space="preserve"> belongs to one or more </w:t>
      </w:r>
      <w:r>
        <w:rPr>
          <w:rFonts w:ascii="Consolas" w:hAnsi="Consolas"/>
          <w:b w:val="0"/>
          <w:i w:val="0"/>
          <w:color w:val="0C7A75"/>
          <w:sz w:val="16"/>
        </w:rPr>
        <w:t>workspace</w:t>
      </w:r>
      <w:r>
        <w:rPr>
          <w:b w:val="0"/>
          <w:i w:val="0"/>
        </w:rPr>
        <w:t xml:space="preserve"> records via role-defined membership. Workspace owns collaborative trips and group artifacts. </w:t>
      </w:r>
      <w:r>
        <w:rPr>
          <w:rFonts w:ascii="Consolas" w:hAnsi="Consolas"/>
          <w:b w:val="0"/>
          <w:i w:val="0"/>
          <w:color w:val="0C7A75"/>
          <w:sz w:val="16"/>
        </w:rPr>
        <w:t>supplier</w:t>
      </w:r>
      <w:r>
        <w:rPr>
          <w:b w:val="0"/>
          <w:i w:val="0"/>
        </w:rPr>
        <w:t xml:space="preserve"> is a verified business under a supplier workspace. Supplier owns </w:t>
      </w:r>
      <w:r>
        <w:rPr>
          <w:rFonts w:ascii="Consolas" w:hAnsi="Consolas"/>
          <w:b w:val="0"/>
          <w:i w:val="0"/>
          <w:color w:val="0C7A75"/>
          <w:sz w:val="16"/>
        </w:rPr>
        <w:t>product</w:t>
      </w:r>
      <w:r>
        <w:rPr>
          <w:b w:val="0"/>
          <w:i w:val="0"/>
        </w:rPr>
        <w:t xml:space="preserve"> and </w:t>
      </w:r>
      <w:r>
        <w:rPr>
          <w:rFonts w:ascii="Consolas" w:hAnsi="Consolas"/>
          <w:b w:val="0"/>
          <w:i w:val="0"/>
          <w:color w:val="0C7A75"/>
          <w:sz w:val="16"/>
        </w:rPr>
        <w:t>departure</w:t>
      </w:r>
      <w:r>
        <w:rPr>
          <w:b w:val="0"/>
          <w:i w:val="0"/>
        </w:rPr>
        <w:t xml:space="preserve">; each departure has inventory and price versions. </w:t>
      </w:r>
      <w:r>
        <w:rPr>
          <w:rFonts w:ascii="Consolas" w:hAnsi="Consolas"/>
          <w:b w:val="0"/>
          <w:i w:val="0"/>
          <w:color w:val="0C7A75"/>
          <w:sz w:val="16"/>
        </w:rPr>
        <w:t>booking</w:t>
      </w:r>
      <w:r>
        <w:rPr>
          <w:b w:val="0"/>
          <w:i w:val="0"/>
        </w:rPr>
        <w:t xml:space="preserve"> belongs to the purchasing user/group and refers to the supplier/product/departure; it owns traveler details, frozen quote and purchase terms. </w:t>
      </w:r>
      <w:r>
        <w:rPr>
          <w:rFonts w:ascii="Consolas" w:hAnsi="Consolas"/>
          <w:b w:val="0"/>
          <w:i w:val="0"/>
          <w:color w:val="0C7A75"/>
          <w:sz w:val="16"/>
        </w:rPr>
        <w:t>payment</w:t>
      </w:r>
      <w:r>
        <w:rPr>
          <w:b w:val="0"/>
          <w:i w:val="0"/>
        </w:rPr>
        <w:t xml:space="preserve"> links gateway order/transaction IDs to the booking. </w:t>
      </w:r>
      <w:r>
        <w:rPr>
          <w:rFonts w:ascii="Consolas" w:hAnsi="Consolas"/>
          <w:b w:val="0"/>
          <w:i w:val="0"/>
          <w:color w:val="0C7A75"/>
          <w:sz w:val="16"/>
        </w:rPr>
        <w:t>payout</w:t>
      </w:r>
      <w:r>
        <w:rPr>
          <w:b w:val="0"/>
          <w:i w:val="0"/>
        </w:rPr>
        <w:t xml:space="preserve"> points to supplier payable and processor settlement references. </w:t>
      </w:r>
      <w:r>
        <w:rPr>
          <w:rFonts w:ascii="Consolas" w:hAnsi="Consolas"/>
          <w:b w:val="0"/>
          <w:i w:val="0"/>
          <w:color w:val="0C7A75"/>
          <w:sz w:val="16"/>
        </w:rPr>
        <w:t>audit_event</w:t>
      </w:r>
      <w:r>
        <w:rPr>
          <w:b w:val="0"/>
          <w:i w:val="0"/>
        </w:rPr>
        <w:t xml:space="preserve"> records actor, action, target, before/after change and correlation ID.</w:t>
      </w:r>
    </w:p>
    <w:p>
      <w:pPr>
        <w:widowControl/>
      </w:pPr>
      <w:r>
        <w:rPr>
          <w:b w:val="0"/>
          <w:i w:val="0"/>
        </w:rPr>
        <w:t>Catalog entities (</w:t>
      </w:r>
      <w:r>
        <w:rPr>
          <w:rFonts w:ascii="Consolas" w:hAnsi="Consolas"/>
          <w:b w:val="0"/>
          <w:i w:val="0"/>
          <w:color w:val="0C7A75"/>
          <w:sz w:val="16"/>
        </w:rPr>
        <w:t>country</w:t>
      </w:r>
      <w:r>
        <w:rPr>
          <w:b w:val="0"/>
          <w:i w:val="0"/>
        </w:rPr>
        <w:t xml:space="preserve">, </w:t>
      </w:r>
      <w:r>
        <w:rPr>
          <w:rFonts w:ascii="Consolas" w:hAnsi="Consolas"/>
          <w:b w:val="0"/>
          <w:i w:val="0"/>
          <w:color w:val="0C7A75"/>
          <w:sz w:val="16"/>
        </w:rPr>
        <w:t>state</w:t>
      </w:r>
      <w:r>
        <w:rPr>
          <w:b w:val="0"/>
          <w:i w:val="0"/>
        </w:rPr>
        <w:t xml:space="preserve">, </w:t>
      </w:r>
      <w:r>
        <w:rPr>
          <w:rFonts w:ascii="Consolas" w:hAnsi="Consolas"/>
          <w:b w:val="0"/>
          <w:i w:val="0"/>
          <w:color w:val="0C7A75"/>
          <w:sz w:val="16"/>
        </w:rPr>
        <w:t>city</w:t>
      </w:r>
      <w:r>
        <w:rPr>
          <w:b w:val="0"/>
          <w:i w:val="0"/>
        </w:rPr>
        <w:t xml:space="preserve">, </w:t>
      </w:r>
      <w:r>
        <w:rPr>
          <w:rFonts w:ascii="Consolas" w:hAnsi="Consolas"/>
          <w:b w:val="0"/>
          <w:i w:val="0"/>
          <w:color w:val="0C7A75"/>
          <w:sz w:val="16"/>
        </w:rPr>
        <w:t>place</w:t>
      </w:r>
      <w:r>
        <w:rPr>
          <w:b w:val="0"/>
          <w:i w:val="0"/>
        </w:rPr>
        <w:t xml:space="preserve">) remain stable cross-system references; package </w:t>
      </w:r>
      <w:r>
        <w:rPr>
          <w:rFonts w:ascii="Consolas" w:hAnsi="Consolas"/>
          <w:b w:val="0"/>
          <w:i w:val="0"/>
          <w:color w:val="0C7A75"/>
          <w:sz w:val="16"/>
        </w:rPr>
        <w:t>product_place</w:t>
      </w:r>
      <w:r>
        <w:rPr>
          <w:b w:val="0"/>
          <w:i w:val="0"/>
        </w:rPr>
        <w:t xml:space="preserve"> links travel products to place IDs, without copying authoritative place description data into booking inventory.</w:t>
      </w:r>
    </w:p>
    <w:p>
      <w:pPr>
        <w:pStyle w:val="Heading2"/>
      </w:pPr>
      <w:r>
        <w:rPr>
          <w:b w:val="0"/>
          <w:i w:val="0"/>
        </w:rPr>
        <w:t>36. PostgreSQL data model — proposed core tables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382"/>
        <w:gridCol w:w="6281"/>
      </w:tblGrid>
      <w:tr>
        <w:trPr>
          <w:tblHeader w:val="true"/>
        </w:trPr>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Entity</w:t>
            </w:r>
          </w:p>
        </w:tc>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Important fields / constraints</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users</w:t>
            </w:r>
            <w:r>
              <w:rPr>
                <w:b w:val="0"/>
                <w:i w:val="0"/>
                <w:sz w:val="16"/>
              </w:rPr>
              <w:t xml:space="preserve">, </w:t>
            </w:r>
            <w:r>
              <w:rPr>
                <w:rFonts w:ascii="Consolas" w:hAnsi="Consolas"/>
                <w:b w:val="0"/>
                <w:i w:val="0"/>
                <w:color w:val="0C7A75"/>
                <w:sz w:val="16"/>
              </w:rPr>
              <w:t>workspaces</w:t>
            </w:r>
            <w:r>
              <w:rPr>
                <w:b w:val="0"/>
                <w:i w:val="0"/>
                <w:sz w:val="16"/>
              </w:rPr>
              <w:t xml:space="preserve">, </w:t>
            </w:r>
            <w:r>
              <w:rPr>
                <w:rFonts w:ascii="Consolas" w:hAnsi="Consolas"/>
                <w:b w:val="0"/>
                <w:i w:val="0"/>
                <w:color w:val="0C7A75"/>
                <w:sz w:val="16"/>
              </w:rPr>
              <w:t>memberships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Login ID, workspace kind, role, status, unique membership</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suppliers</w:t>
            </w:r>
            <w:r>
              <w:rPr>
                <w:b w:val="0"/>
                <w:i w:val="0"/>
                <w:sz w:val="16"/>
              </w:rPr>
              <w:t xml:space="preserve">, </w:t>
            </w:r>
            <w:r>
              <w:rPr>
                <w:rFonts w:ascii="Consolas" w:hAnsi="Consolas"/>
                <w:b w:val="0"/>
                <w:i w:val="0"/>
                <w:color w:val="0C7A75"/>
                <w:sz w:val="16"/>
              </w:rPr>
              <w:t>supplier_verifications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Legal identity, payout provider, verification state, settlement currency</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supplier_contracts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Effective dates, model, payout rate/commission, max markup, tax/discount rules, version</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products</w:t>
            </w:r>
            <w:r>
              <w:rPr>
                <w:b w:val="0"/>
                <w:i w:val="0"/>
                <w:sz w:val="16"/>
              </w:rPr>
              <w:t xml:space="preserve">, </w:t>
            </w:r>
            <w:r>
              <w:rPr>
                <w:rFonts w:ascii="Consolas" w:hAnsi="Consolas"/>
                <w:b w:val="0"/>
                <w:i w:val="0"/>
                <w:color w:val="0C7A75"/>
                <w:sz w:val="16"/>
              </w:rPr>
              <w:t>product_places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Description, supplier, region, inclusions, catalog POI references</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departures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Local date/time/zone, capacity, source mode, cutoff, status, supplier ref</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inventory_holds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Booking intent, seat count, expiration, status, unique idempotency key</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inventory_events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Reservation/hold/cancel adjustments, reason, actor, version</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price_rules</w:t>
            </w:r>
            <w:r>
              <w:rPr>
                <w:b w:val="0"/>
                <w:i w:val="0"/>
                <w:sz w:val="16"/>
              </w:rPr>
              <w:t xml:space="preserve">, </w:t>
            </w:r>
            <w:r>
              <w:rPr>
                <w:rFonts w:ascii="Consolas" w:hAnsi="Consolas"/>
                <w:b w:val="0"/>
                <w:i w:val="0"/>
                <w:color w:val="0C7A75"/>
                <w:sz w:val="16"/>
              </w:rPr>
              <w:t>price_versions</w:t>
            </w:r>
            <w:r>
              <w:rPr>
                <w:b w:val="0"/>
                <w:i w:val="0"/>
                <w:sz w:val="16"/>
              </w:rPr>
              <w:t xml:space="preserve">, </w:t>
            </w:r>
            <w:r>
              <w:rPr>
                <w:rFonts w:ascii="Consolas" w:hAnsi="Consolas"/>
                <w:b w:val="0"/>
                <w:i w:val="0"/>
                <w:color w:val="0C7A75"/>
                <w:sz w:val="16"/>
              </w:rPr>
              <w:t>quotes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Versioned inputs, currency/minor units, line items, expiry</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bookings</w:t>
            </w:r>
            <w:r>
              <w:rPr>
                <w:b w:val="0"/>
                <w:i w:val="0"/>
                <w:sz w:val="16"/>
              </w:rPr>
              <w:t xml:space="preserve">, </w:t>
            </w:r>
            <w:r>
              <w:rPr>
                <w:rFonts w:ascii="Consolas" w:hAnsi="Consolas"/>
                <w:b w:val="0"/>
                <w:i w:val="0"/>
                <w:color w:val="0C7A75"/>
                <w:sz w:val="16"/>
              </w:rPr>
              <w:t>booking_travelers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Booking state, frozen contract, traveler info, confirmation IDs</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payments</w:t>
            </w:r>
            <w:r>
              <w:rPr>
                <w:b w:val="0"/>
                <w:i w:val="0"/>
                <w:sz w:val="16"/>
              </w:rPr>
              <w:t xml:space="preserve">, </w:t>
            </w:r>
            <w:r>
              <w:rPr>
                <w:rFonts w:ascii="Consolas" w:hAnsi="Consolas"/>
                <w:b w:val="0"/>
                <w:i w:val="0"/>
                <w:color w:val="0C7A75"/>
                <w:sz w:val="16"/>
              </w:rPr>
              <w:t>provider_events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Provider order, payment ID, status, amount, dedupe event ID</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supplier_payables</w:t>
            </w:r>
            <w:r>
              <w:rPr>
                <w:b w:val="0"/>
                <w:i w:val="0"/>
                <w:sz w:val="16"/>
              </w:rPr>
              <w:t xml:space="preserve">, </w:t>
            </w:r>
            <w:r>
              <w:rPr>
                <w:rFonts w:ascii="Consolas" w:hAnsi="Consolas"/>
                <w:b w:val="0"/>
                <w:i w:val="0"/>
                <w:color w:val="0C7A75"/>
                <w:sz w:val="16"/>
              </w:rPr>
              <w:t>payouts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Amount, milestone, gateway transfer/settlement IDs, reconciliation</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refunds</w:t>
            </w:r>
            <w:r>
              <w:rPr>
                <w:b w:val="0"/>
                <w:i w:val="0"/>
                <w:sz w:val="16"/>
              </w:rPr>
              <w:t xml:space="preserve">, </w:t>
            </w:r>
            <w:r>
              <w:rPr>
                <w:rFonts w:ascii="Consolas" w:hAnsi="Consolas"/>
                <w:b w:val="0"/>
                <w:i w:val="0"/>
                <w:color w:val="0C7A75"/>
                <w:sz w:val="16"/>
              </w:rPr>
              <w:t>disputes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Cause, eligible amount, gateway ID, vendor liability and outcome</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group_trips</w:t>
            </w:r>
            <w:r>
              <w:rPr>
                <w:b w:val="0"/>
                <w:i w:val="0"/>
                <w:sz w:val="16"/>
              </w:rPr>
              <w:t xml:space="preserve">, </w:t>
            </w:r>
            <w:r>
              <w:rPr>
                <w:rFonts w:ascii="Consolas" w:hAnsi="Consolas"/>
                <w:b w:val="0"/>
                <w:i w:val="0"/>
                <w:color w:val="0C7A75"/>
                <w:sz w:val="16"/>
              </w:rPr>
              <w:t>itinerary_items</w:t>
            </w:r>
            <w:r>
              <w:rPr>
                <w:b w:val="0"/>
                <w:i w:val="0"/>
                <w:sz w:val="16"/>
              </w:rPr>
              <w:t xml:space="preserve">, </w:t>
            </w:r>
            <w:r>
              <w:rPr>
                <w:rFonts w:ascii="Consolas" w:hAnsi="Consolas"/>
                <w:b w:val="0"/>
                <w:i w:val="0"/>
                <w:color w:val="0C7A75"/>
                <w:sz w:val="16"/>
              </w:rPr>
              <w:t>polls</w:t>
            </w:r>
            <w:r>
              <w:rPr>
                <w:b w:val="0"/>
                <w:i w:val="0"/>
                <w:sz w:val="16"/>
              </w:rPr>
              <w:t xml:space="preserve">, </w:t>
            </w:r>
            <w:r>
              <w:rPr>
                <w:rFonts w:ascii="Consolas" w:hAnsi="Consolas"/>
                <w:b w:val="0"/>
                <w:i w:val="0"/>
                <w:color w:val="0C7A75"/>
                <w:sz w:val="16"/>
              </w:rPr>
              <w:t>votes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Workspace ownership and per-member capabilities</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expenses</w:t>
            </w:r>
            <w:r>
              <w:rPr>
                <w:b w:val="0"/>
                <w:i w:val="0"/>
                <w:sz w:val="16"/>
              </w:rPr>
              <w:t xml:space="preserve">, </w:t>
            </w:r>
            <w:r>
              <w:rPr>
                <w:rFonts w:ascii="Consolas" w:hAnsi="Consolas"/>
                <w:b w:val="0"/>
                <w:i w:val="0"/>
                <w:color w:val="0C7A75"/>
                <w:sz w:val="16"/>
              </w:rPr>
              <w:t>expense_shares</w:t>
            </w:r>
            <w:r>
              <w:rPr>
                <w:b w:val="0"/>
                <w:i w:val="0"/>
                <w:sz w:val="16"/>
              </w:rPr>
              <w:t xml:space="preserve">, </w:t>
            </w:r>
            <w:r>
              <w:rPr>
                <w:rFonts w:ascii="Consolas" w:hAnsi="Consolas"/>
                <w:b w:val="0"/>
                <w:i w:val="0"/>
                <w:color w:val="0C7A75"/>
                <w:sz w:val="16"/>
              </w:rPr>
              <w:t>settlements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Separate group expense ledger and settlement records</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notifications</w:t>
            </w:r>
            <w:r>
              <w:rPr>
                <w:b w:val="0"/>
                <w:i w:val="0"/>
                <w:sz w:val="16"/>
              </w:rPr>
              <w:t xml:space="preserve">, </w:t>
            </w:r>
            <w:r>
              <w:rPr>
                <w:rFonts w:ascii="Consolas" w:hAnsi="Consolas"/>
                <w:b w:val="0"/>
                <w:i w:val="0"/>
                <w:color w:val="0C7A75"/>
                <w:sz w:val="16"/>
              </w:rPr>
              <w:t>audit_events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Delivery/channel/status; actor/request/audit payload</w:t>
            </w:r>
          </w:p>
        </w:tc>
      </w:tr>
    </w:tbl>
    <w:p>
      <w:pPr>
        <w:spacing w:after="0"/>
      </w:pPr>
    </w:p>
    <w:p>
      <w:pPr>
        <w:widowControl/>
      </w:pPr>
      <w:r>
        <w:rPr>
          <w:b/>
          <w:i w:val="0"/>
        </w:rPr>
        <w:t>Currency rule:</w:t>
      </w:r>
      <w:r>
        <w:rPr>
          <w:b w:val="0"/>
          <w:i w:val="0"/>
        </w:rPr>
        <w:t xml:space="preserve"> financial amounts use integer minor units and ISO 4217 currencies (e.g., ₹15,000 = </w:t>
      </w:r>
      <w:r>
        <w:rPr>
          <w:rFonts w:ascii="Consolas" w:hAnsi="Consolas"/>
          <w:b w:val="0"/>
          <w:i w:val="0"/>
          <w:color w:val="0C7A75"/>
          <w:sz w:val="16"/>
        </w:rPr>
        <w:t>1500000</w:t>
      </w:r>
      <w:r>
        <w:rPr>
          <w:b w:val="0"/>
          <w:i w:val="0"/>
        </w:rPr>
        <w:t xml:space="preserve"> paise for INR) unless a currency has a different exponent. Display values are localized. Do not use SQLite floating amounts or binary floats for new money transactions.</w:t>
      </w:r>
    </w:p>
    <w:p>
      <w:pPr>
        <w:pStyle w:val="Heading2"/>
      </w:pPr>
      <w:r>
        <w:rPr>
          <w:b w:val="0"/>
          <w:i w:val="0"/>
        </w:rPr>
        <w:t>37. Reference SQL: capacity and immutable quote</w:t>
      </w:r>
    </w:p>
    <w:p>
      <w:pPr>
        <w:pStyle w:val="CodeStyled"/>
        <w:keepLines/>
        <w:spacing w:before="100" w:after="160"/>
        <w:ind w:left="158" w:right="173"/>
        <w:shd w:fill="EEF4F7"/>
      </w:pPr>
      <w:r>
        <w:rPr>
          <w:rFonts w:ascii="Consolas" w:hAnsi="Consolas"/>
          <w:color w:val="17324D"/>
          <w:sz w:val="14"/>
        </w:rPr>
        <w:t>CREATE TABLE package_departures (</w:t>
        <w:br/>
        <w:t xml:space="preserve">  id BIGSERIAL PRIMARY KEY,</w:t>
        <w:br/>
        <w:t xml:space="preserve">  supplier_id BIGINT NOT NULL,</w:t>
        <w:br/>
        <w:t xml:space="preserve">  product_id BIGINT NOT NULL,</w:t>
        <w:br/>
        <w:t xml:space="preserve">  departure_at TIMESTAMPTZ NOT NULL,</w:t>
        <w:br/>
        <w:t xml:space="preserve">  capacity INT NOT NULL CHECK (capacity &gt;= 0),</w:t>
        <w:br/>
        <w:t xml:space="preserve">  confirmed_seats INT NOT NULL DEFAULT 0 CHECK (confirmed_seats &gt;= 0),</w:t>
        <w:br/>
        <w:t xml:space="preserve">  held_seats INT NOT NULL DEFAULT 0 CHECK (held_seats &gt;= 0),</w:t>
        <w:br/>
        <w:t xml:space="preserve">  source_mode TEXT NOT NULL CHECK (source_mode IN ('allocated','supplier_manual','provider_api')),</w:t>
        <w:br/>
        <w:t xml:space="preserve">  status TEXT NOT NULL DEFAULT 'OPEN',</w:t>
        <w:br/>
        <w:t xml:space="preserve">  version BIGINT NOT NULL DEFAULT 1,</w:t>
        <w:br/>
        <w:t xml:space="preserve">  CHECK (confirmed_seats + held_seats &lt;= capacity)</w:t>
        <w:br/>
        <w:t>);</w:t>
        <w:br/>
        <w:br/>
        <w:t>CREATE TABLE seat_holds (</w:t>
        <w:br/>
        <w:t xml:space="preserve">  id UUID PRIMARY KEY,</w:t>
        <w:br/>
        <w:t xml:space="preserve">  departure_id BIGINT NOT NULL REFERENCES package_departures(id),</w:t>
        <w:br/>
        <w:t xml:space="preserve">  seat_count INT NOT NULL CHECK (seat_count &gt; 0),</w:t>
        <w:br/>
        <w:t xml:space="preserve">  status TEXT NOT NULL CHECK (status IN ('active','confirmed','released','expired')),</w:t>
        <w:br/>
        <w:t xml:space="preserve">  expires_at TIMESTAMPTZ NOT NULL,</w:t>
        <w:br/>
        <w:t xml:space="preserve">  request_key TEXT NOT NULL UNIQUE</w:t>
        <w:br/>
        <w:t>);</w:t>
        <w:br/>
        <w:br/>
        <w:t>CREATE TABLE booking_quotes (</w:t>
        <w:br/>
        <w:t xml:space="preserve">  id UUID PRIMARY KEY,</w:t>
        <w:br/>
        <w:t xml:space="preserve">  departure_id BIGINT NOT NULL REFERENCES package_departures(id),</w:t>
        <w:br/>
        <w:t xml:space="preserve">  price_version BIGINT NOT NULL,</w:t>
        <w:br/>
        <w:t xml:space="preserve">  amount_minor BIGINT NOT NULL CHECK (amount_minor &gt;= 0),</w:t>
        <w:br/>
        <w:t xml:space="preserve">  currency_code CHAR(3) NOT NULL,</w:t>
        <w:br/>
        <w:t xml:space="preserve">  supplier_net_minor BIGINT NOT NULL CHECK (supplier_net_minor &gt;= 0),</w:t>
        <w:br/>
        <w:t xml:space="preserve">  expires_at TIMESTAMPTZ NOT NULL,</w:t>
        <w:br/>
        <w:t xml:space="preserve">  snapshot_json JSONB NOT NULL</w:t>
        <w:br/>
        <w:t>);</w:t>
      </w:r>
    </w:p>
    <w:p>
      <w:pPr>
        <w:widowControl/>
      </w:pPr>
      <w:r>
        <w:rPr>
          <w:b w:val="0"/>
          <w:i w:val="0"/>
        </w:rPr>
        <w:t xml:space="preserve">This is a skeletal conceptual schema, </w:t>
      </w:r>
      <w:r>
        <w:rPr>
          <w:b/>
          <w:i w:val="0"/>
        </w:rPr>
        <w:t>not a drop-in migration</w:t>
      </w:r>
      <w:r>
        <w:rPr>
          <w:b w:val="0"/>
          <w:i w:val="0"/>
        </w:rPr>
        <w:t xml:space="preserve">; actual foreign keys, multi-traveler price components, taxes, constraints, stored-payment tokens, supplier split logic and tenant scoping need completion and tests. A materialized </w:t>
      </w:r>
      <w:r>
        <w:rPr>
          <w:rFonts w:ascii="Consolas" w:hAnsi="Consolas"/>
          <w:b w:val="0"/>
          <w:i w:val="0"/>
          <w:color w:val="0C7A75"/>
          <w:sz w:val="16"/>
        </w:rPr>
        <w:t>held_seats</w:t>
      </w:r>
      <w:r>
        <w:rPr>
          <w:b w:val="0"/>
          <w:i w:val="0"/>
        </w:rPr>
        <w:t xml:space="preserve"> counter requires transactional maintenance and periodic reconciliation against live holds, including expiry. Always lock affected inventory rows during reservation mutations.</w:t>
      </w:r>
    </w:p>
    <w:p>
      <w:pPr>
        <w:pStyle w:val="Heading2"/>
      </w:pPr>
      <w:r>
        <w:rPr>
          <w:b w:val="0"/>
          <w:i w:val="0"/>
        </w:rPr>
        <w:t>38. Backend API contract (v1 sketch)</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Endpoint</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Actor</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Behavior</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GET /v1/discovery/places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Traveler</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Filter POIs using canonical catalog projection</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/v1/ai/trips/draft</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Traveler / group</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Propose itinerary; no booking execution</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POST /v1/groups</w:t>
            </w:r>
            <w:r>
              <w:rPr>
                <w:b w:val="0"/>
                <w:i w:val="0"/>
                <w:sz w:val="16"/>
              </w:rPr>
              <w:t xml:space="preserve">, </w:t>
            </w:r>
            <w:r>
              <w:rPr>
                <w:rFonts w:ascii="Consolas" w:hAnsi="Consolas"/>
                <w:b w:val="0"/>
                <w:i w:val="0"/>
                <w:color w:val="0C7A75"/>
                <w:sz w:val="16"/>
              </w:rPr>
              <w:t>POST /v1/groups/{id}/invites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Member per role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Create/join collaborative space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/v1/groups/{id}/polls</w:t>
            </w:r>
            <w:r>
              <w:rPr>
                <w:b w:val="0"/>
                <w:i w:val="0"/>
                <w:sz w:val="16"/>
              </w:rPr>
              <w:t xml:space="preserve">, </w:t>
            </w:r>
            <w:r>
              <w:rPr>
                <w:rFonts w:ascii="Consolas" w:hAnsi="Consolas"/>
                <w:b w:val="0"/>
                <w:i w:val="0"/>
                <w:color w:val="0C7A75"/>
                <w:sz w:val="16"/>
              </w:rPr>
              <w:t>/expenses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Authorized group member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Poll and expense mutations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POST /v1/suppliers/onboarding</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Supplier owner</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Start verification and contract approval</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/v1/suppliers/products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Authorized supplier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Create draft travel product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PATCH /v1/suppliers/departures/{id}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Authorized supplier</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Edit rates/inventory via validation</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GET /v1/products/{id}/availability</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Traveler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Real-time or last-checked availability classification</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POST /v1/quotes</w:t>
            </w:r>
            <w:r>
              <w:rPr>
                <w:b w:val="0"/>
                <w:i w:val="0"/>
                <w:sz w:val="16"/>
              </w:rPr>
              <w:t xml:space="preserve">, </w:t>
            </w:r>
            <w:r>
              <w:rPr>
                <w:rFonts w:ascii="Consolas" w:hAnsi="Consolas"/>
                <w:b w:val="0"/>
                <w:i w:val="0"/>
                <w:color w:val="0C7A75"/>
                <w:sz w:val="16"/>
              </w:rPr>
              <w:t>POST /v1/holds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Traveler</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Create fixed quote and atomic/proxy hold</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/v1/bookings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Traveler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Start booking from accepted quote/hold</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POST /v1/payments/orders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Booking service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Create provider payment object server-side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/v1/webhooks/{provider}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Signed provider</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Durable verified event ingestion</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GET /v1/bookings/{id}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Buyer / authorized agent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Return correct viewer projection</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POST /v1/refunds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Authorized traveler/admin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Policy-governed refund request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rFonts w:ascii="Consolas" w:hAnsi="Consolas"/>
                <w:b w:val="0"/>
                <w:i w:val="0"/>
                <w:color w:val="0C7A75"/>
                <w:sz w:val="16"/>
              </w:rPr>
              <w:t>GET /v1/suppliers/payouts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Supplier</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Reconciled payout/settlement status</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rFonts w:ascii="Consolas" w:hAnsi="Consolas"/>
                <w:b w:val="0"/>
                <w:i w:val="0"/>
                <w:color w:val="0C7A75"/>
                <w:sz w:val="16"/>
              </w:rPr>
              <w:t>GET /v1/admin/reconciliation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Finance/admin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Exceptions and unmatched bank events</w:t>
            </w:r>
          </w:p>
        </w:tc>
      </w:tr>
    </w:tbl>
    <w:p>
      <w:pPr>
        <w:spacing w:after="0"/>
      </w:pPr>
    </w:p>
    <w:p>
      <w:pPr>
        <w:widowControl/>
      </w:pPr>
      <w:r>
        <w:rPr>
          <w:b w:val="0"/>
          <w:i w:val="0"/>
        </w:rPr>
        <w:t>Sample response for an allocated package:</w:t>
      </w:r>
    </w:p>
    <w:p>
      <w:pPr>
        <w:pStyle w:val="CodeStyled"/>
        <w:keepLines/>
        <w:spacing w:before="100" w:after="160"/>
        <w:ind w:left="158" w:right="173"/>
        <w:shd w:fill="EEF4F7"/>
      </w:pPr>
      <w:r>
        <w:rPr>
          <w:rFonts w:ascii="Consolas" w:hAnsi="Consolas"/>
          <w:color w:val="17324D"/>
          <w:sz w:val="14"/>
        </w:rPr>
        <w:t>{</w:t>
        <w:br/>
        <w:t xml:space="preserve">  "departure_id": "dep_123",</w:t>
        <w:br/>
        <w:t xml:space="preserve">  "source_mode": "allocated",</w:t>
        <w:br/>
        <w:t xml:space="preserve">  "availability": {"status": "AVAILABLE", "remaining": 3, "checked_at": "2026-10-16T12:00:00Z"},</w:t>
        <w:br/>
        <w:t xml:space="preserve">  "pricing": {"currency": "INR", "amount_minor": 1500000, "from_price": false},</w:t>
        <w:br/>
        <w:t xml:space="preserve">  "confirmation_mode": "INSTANT",</w:t>
        <w:br/>
        <w:t xml:space="preserve">  "quote_required": true</w:t>
        <w:br/>
        <w:t>}</w:t>
      </w:r>
    </w:p>
    <w:p>
      <w:pPr>
        <w:widowControl/>
      </w:pPr>
      <w:r>
        <w:rPr>
          <w:b w:val="0"/>
          <w:i w:val="0"/>
        </w:rPr>
        <w:t xml:space="preserve">For an offline supplier not controlling a TripRaft allotment, </w:t>
      </w:r>
      <w:r>
        <w:rPr>
          <w:rFonts w:ascii="Consolas" w:hAnsi="Consolas"/>
          <w:b w:val="0"/>
          <w:i w:val="0"/>
          <w:color w:val="0C7A75"/>
          <w:sz w:val="16"/>
        </w:rPr>
        <w:t>remaining</w:t>
      </w:r>
      <w:r>
        <w:rPr>
          <w:b w:val="0"/>
          <w:i w:val="0"/>
        </w:rPr>
        <w:t xml:space="preserve"> should be </w:t>
      </w:r>
      <w:r>
        <w:rPr>
          <w:rFonts w:ascii="Consolas" w:hAnsi="Consolas"/>
          <w:b w:val="0"/>
          <w:i w:val="0"/>
          <w:color w:val="0C7A75"/>
          <w:sz w:val="16"/>
        </w:rPr>
        <w:t>null</w:t>
      </w:r>
      <w:r>
        <w:rPr>
          <w:b w:val="0"/>
          <w:i w:val="0"/>
        </w:rPr>
        <w:t xml:space="preserve">, and </w:t>
      </w:r>
      <w:r>
        <w:rPr>
          <w:rFonts w:ascii="Consolas" w:hAnsi="Consolas"/>
          <w:b w:val="0"/>
          <w:i w:val="0"/>
          <w:color w:val="0C7A75"/>
          <w:sz w:val="16"/>
        </w:rPr>
        <w:t>confirmation_mode</w:t>
      </w:r>
      <w:r>
        <w:rPr>
          <w:b w:val="0"/>
          <w:i w:val="0"/>
        </w:rPr>
        <w:t xml:space="preserve"> should be </w:t>
      </w:r>
      <w:r>
        <w:rPr>
          <w:rFonts w:ascii="Consolas" w:hAnsi="Consolas"/>
          <w:b w:val="0"/>
          <w:i w:val="0"/>
          <w:color w:val="0C7A75"/>
          <w:sz w:val="16"/>
        </w:rPr>
        <w:t>REQUEST_TO_BOOK</w:t>
      </w:r>
      <w:r>
        <w:rPr>
          <w:b w:val="0"/>
          <w:i w:val="0"/>
        </w:rPr>
        <w:t xml:space="preserve"> unless their contractual process supports a guaranteed confirmation.</w:t>
      </w:r>
    </w:p>
    <w:p>
      <w:pPr>
        <w:pStyle w:val="Heading2"/>
      </w:pPr>
      <w:r>
        <w:rPr>
          <w:b w:val="0"/>
          <w:i w:val="0"/>
        </w:rPr>
        <w:t>39. Eventing, webhooks and reliability</w:t>
      </w:r>
    </w:p>
    <w:p>
      <w:pPr>
        <w:widowControl/>
      </w:pPr>
      <w:r>
        <w:rPr>
          <w:b w:val="0"/>
          <w:i w:val="0"/>
        </w:rPr>
        <w:t xml:space="preserve">Every external callback is an untrusted delivery until verified. Raw webhook signature verification occurs before parsing for state changes. Implement </w:t>
      </w:r>
      <w:r>
        <w:rPr>
          <w:rFonts w:ascii="Consolas" w:hAnsi="Consolas"/>
          <w:b w:val="0"/>
          <w:i w:val="0"/>
          <w:color w:val="0C7A75"/>
          <w:sz w:val="16"/>
        </w:rPr>
        <w:t>provider_events(provider, external_event_id)</w:t>
      </w:r>
      <w:r>
        <w:rPr>
          <w:b w:val="0"/>
          <w:i w:val="0"/>
        </w:rPr>
        <w:t xml:space="preserve"> unique index, correlation IDs, retry queue, dead-letter queue, safe replay, and a monotonic state-machine rule so a stale webhook cannot revert a finalized booking. Do not call non-idempotent payout APIs twice without provider idempotency keys or checking their current state first.</w:t>
      </w:r>
    </w:p>
    <w:p>
      <w:pPr>
        <w:widowControl/>
      </w:pPr>
      <w:r>
        <w:rPr>
          <w:b w:val="0"/>
          <w:i w:val="0"/>
        </w:rPr>
        <w:t xml:space="preserve">Core events: </w:t>
      </w:r>
      <w:r>
        <w:rPr>
          <w:rFonts w:ascii="Consolas" w:hAnsi="Consolas"/>
          <w:b w:val="0"/>
          <w:i w:val="0"/>
          <w:color w:val="0C7A75"/>
          <w:sz w:val="16"/>
        </w:rPr>
        <w:t>inventory.hold.created</w:t>
      </w:r>
      <w:r>
        <w:rPr>
          <w:b w:val="0"/>
          <w:i w:val="0"/>
        </w:rPr>
        <w:t xml:space="preserve">, </w:t>
      </w:r>
      <w:r>
        <w:rPr>
          <w:rFonts w:ascii="Consolas" w:hAnsi="Consolas"/>
          <w:b w:val="0"/>
          <w:i w:val="0"/>
          <w:color w:val="0C7A75"/>
          <w:sz w:val="16"/>
        </w:rPr>
        <w:t>inventory.hold.expired</w:t>
      </w:r>
      <w:r>
        <w:rPr>
          <w:b w:val="0"/>
          <w:i w:val="0"/>
        </w:rPr>
        <w:t xml:space="preserve">, </w:t>
      </w:r>
      <w:r>
        <w:rPr>
          <w:rFonts w:ascii="Consolas" w:hAnsi="Consolas"/>
          <w:b w:val="0"/>
          <w:i w:val="0"/>
          <w:color w:val="0C7A75"/>
          <w:sz w:val="16"/>
        </w:rPr>
        <w:t>booking.confirmed</w:t>
      </w:r>
      <w:r>
        <w:rPr>
          <w:b w:val="0"/>
          <w:i w:val="0"/>
        </w:rPr>
        <w:t xml:space="preserve">, </w:t>
      </w:r>
      <w:r>
        <w:rPr>
          <w:rFonts w:ascii="Consolas" w:hAnsi="Consolas"/>
          <w:b w:val="0"/>
          <w:i w:val="0"/>
          <w:color w:val="0C7A75"/>
          <w:sz w:val="16"/>
        </w:rPr>
        <w:t>payment.captured</w:t>
      </w:r>
      <w:r>
        <w:rPr>
          <w:b w:val="0"/>
          <w:i w:val="0"/>
        </w:rPr>
        <w:t xml:space="preserve">, </w:t>
      </w:r>
      <w:r>
        <w:rPr>
          <w:rFonts w:ascii="Consolas" w:hAnsi="Consolas"/>
          <w:b w:val="0"/>
          <w:i w:val="0"/>
          <w:color w:val="0C7A75"/>
          <w:sz w:val="16"/>
        </w:rPr>
        <w:t>supplier.booking.accepted</w:t>
      </w:r>
      <w:r>
        <w:rPr>
          <w:b w:val="0"/>
          <w:i w:val="0"/>
        </w:rPr>
        <w:t xml:space="preserve">, </w:t>
      </w:r>
      <w:r>
        <w:rPr>
          <w:rFonts w:ascii="Consolas" w:hAnsi="Consolas"/>
          <w:b w:val="0"/>
          <w:i w:val="0"/>
          <w:color w:val="0C7A75"/>
          <w:sz w:val="16"/>
        </w:rPr>
        <w:t>refund.completed</w:t>
      </w:r>
      <w:r>
        <w:rPr>
          <w:b w:val="0"/>
          <w:i w:val="0"/>
        </w:rPr>
        <w:t xml:space="preserve">, </w:t>
      </w:r>
      <w:r>
        <w:rPr>
          <w:rFonts w:ascii="Consolas" w:hAnsi="Consolas"/>
          <w:b w:val="0"/>
          <w:i w:val="0"/>
          <w:color w:val="0C7A75"/>
          <w:sz w:val="16"/>
        </w:rPr>
        <w:t>payout.submitted</w:t>
      </w:r>
      <w:r>
        <w:rPr>
          <w:b w:val="0"/>
          <w:i w:val="0"/>
        </w:rPr>
        <w:t xml:space="preserve">, </w:t>
      </w:r>
      <w:r>
        <w:rPr>
          <w:rFonts w:ascii="Consolas" w:hAnsi="Consolas"/>
          <w:b w:val="0"/>
          <w:i w:val="0"/>
          <w:color w:val="0C7A75"/>
          <w:sz w:val="16"/>
        </w:rPr>
        <w:t>payout.settled</w:t>
      </w:r>
      <w:r>
        <w:rPr>
          <w:b w:val="0"/>
          <w:i w:val="0"/>
        </w:rPr>
        <w:t xml:space="preserve">, </w:t>
      </w:r>
      <w:r>
        <w:rPr>
          <w:rFonts w:ascii="Consolas" w:hAnsi="Consolas"/>
          <w:b w:val="0"/>
          <w:i w:val="0"/>
          <w:color w:val="0C7A75"/>
          <w:sz w:val="16"/>
        </w:rPr>
        <w:t>payout.failed</w:t>
      </w:r>
      <w:r>
        <w:rPr>
          <w:b w:val="0"/>
          <w:i w:val="0"/>
        </w:rPr>
        <w:t xml:space="preserve">, </w:t>
      </w:r>
      <w:r>
        <w:rPr>
          <w:rFonts w:ascii="Consolas" w:hAnsi="Consolas"/>
          <w:b w:val="0"/>
          <w:i w:val="0"/>
          <w:color w:val="0C7A75"/>
          <w:sz w:val="16"/>
        </w:rPr>
        <w:t>group.poll.closed</w:t>
      </w:r>
      <w:r>
        <w:rPr>
          <w:b w:val="0"/>
          <w:i w:val="0"/>
        </w:rPr>
        <w:t xml:space="preserve">, </w:t>
      </w:r>
      <w:r>
        <w:rPr>
          <w:rFonts w:ascii="Consolas" w:hAnsi="Consolas"/>
          <w:b w:val="0"/>
          <w:i w:val="0"/>
          <w:color w:val="0C7A75"/>
          <w:sz w:val="16"/>
        </w:rPr>
        <w:t>expense.updated</w:t>
      </w:r>
      <w:r>
        <w:rPr>
          <w:b w:val="0"/>
          <w:i w:val="0"/>
        </w:rPr>
        <w:t>. Events should contain reference IDs, not full passenger bank/card data.</w:t>
      </w:r>
    </w:p>
    <w:p>
      <w:pPr>
        <w:pStyle w:val="Heading2"/>
      </w:pPr>
      <w:r>
        <w:rPr>
          <w:b w:val="0"/>
          <w:i w:val="0"/>
        </w:rPr>
        <w:t>40. Security, privacy and compliance requirements</w:t>
      </w:r>
    </w:p>
    <w:p>
      <w:pPr>
        <w:widowControl/>
      </w:pPr>
      <w:r>
        <w:rPr>
          <w:b/>
          <w:i w:val="0"/>
        </w:rPr>
        <w:t>Authentication:</w:t>
      </w:r>
      <w:r>
        <w:rPr>
          <w:b w:val="0"/>
          <w:i w:val="0"/>
        </w:rPr>
        <w:t xml:space="preserve"> passkeys or email/OAuth as appropriate, strong sessions, MFA for finance/suppliers/admin, device and suspicious-login alerts. </w:t>
      </w:r>
      <w:r>
        <w:rPr>
          <w:b/>
          <w:i w:val="0"/>
        </w:rPr>
        <w:t>Authorization:</w:t>
      </w:r>
      <w:r>
        <w:rPr>
          <w:b w:val="0"/>
          <w:i w:val="0"/>
        </w:rPr>
        <w:t xml:space="preserve"> workspace and supplier scope in every query; per-object ACLs for itineraries/docs; server-side role enforcement; support impersonation only under controlled audited support workflows.</w:t>
      </w:r>
    </w:p>
    <w:p>
      <w:pPr>
        <w:widowControl/>
      </w:pPr>
      <w:r>
        <w:rPr>
          <w:b/>
          <w:i w:val="0"/>
        </w:rPr>
        <w:t>Sensitive data:</w:t>
      </w:r>
      <w:r>
        <w:rPr>
          <w:b w:val="0"/>
          <w:i w:val="0"/>
        </w:rPr>
        <w:t xml:space="preserve"> encrypt in transit/at rest; use KMS/secret manager; short-lived document access; redact PII in logs; define purpose/retention/deletion; restrict finance staff; segregate production/test; perform vendor due diligence and penetration testing. </w:t>
      </w:r>
      <w:r>
        <w:rPr>
          <w:b/>
          <w:i w:val="0"/>
        </w:rPr>
        <w:t>Travel/commerce:</w:t>
      </w:r>
      <w:r>
        <w:rPr>
          <w:b w:val="0"/>
          <w:i w:val="0"/>
        </w:rPr>
        <w:t xml:space="preserve"> verify supplier legitimacy; publish operator identity/cancellation policies; agree merchant-of-record, refunds, charges, liabilities and taxes; get specialist review for India GST/TCS/TDS, India payment rules, cross-border payments, travel-seller requirements and country-specific privacy/consumer law before launch.</w:t>
      </w:r>
    </w:p>
    <w:p>
      <w:pPr>
        <w:widowControl/>
      </w:pPr>
      <w:r>
        <w:rPr>
          <w:b/>
          <w:i w:val="0"/>
        </w:rPr>
        <w:t>Accessibility:</w:t>
      </w:r>
      <w:r>
        <w:rPr>
          <w:b w:val="0"/>
          <w:i w:val="0"/>
        </w:rPr>
        <w:t xml:space="preserve"> meet current applicable accessibility standards, responsive design, keyboard access, readable error states and localized checkout. </w:t>
      </w:r>
      <w:r>
        <w:rPr>
          <w:b/>
          <w:i w:val="0"/>
        </w:rPr>
        <w:t>Commercial API terms:</w:t>
      </w:r>
      <w:r>
        <w:rPr>
          <w:b w:val="0"/>
          <w:i w:val="0"/>
        </w:rPr>
        <w:t xml:space="preserve"> provider restrictions may limit cache, use of media/reviews, parity, payment method, rates, data replication, and affiliate attribution. Never scrape forbidden live inventory to avoid partnership requirements.</w:t>
      </w:r>
    </w:p>
    <w:p>
      <w:r>
        <w:br w:type="page"/>
      </w:r>
    </w:p>
    <w:p>
      <w:pPr>
        <w:pStyle w:val="Heading1"/>
      </w:pPr>
      <w:r>
        <w:rPr>
          <w:b w:val="0"/>
          <w:i w:val="0"/>
        </w:rPr>
        <w:t>PART IX — DELIVERY, QUALITY AND OPERATIONS</w:t>
      </w:r>
    </w:p>
    <w:p>
      <w:pPr>
        <w:pStyle w:val="Heading2"/>
      </w:pPr>
      <w:r>
        <w:rPr>
          <w:b w:val="0"/>
          <w:i w:val="0"/>
        </w:rPr>
        <w:t>41. Six-stage implementation roadmap</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Stage</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Build</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Exit gate / done means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0. Baseline &amp; governance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Catalog backup, data reconciliation, requirements, supplier/payment legal and provider selection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Proven non-destructive migration and contracts checklist</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1. Workspaces + planning</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Roles, trips, itinerary, polls, chat, expenses, Scout/Crew integration with consent gates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End-to-end collaborative trip; tenant access tests pass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2. Supplier &amp; packages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Onboarding, supplier admin, contract rates, product/departure management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Verified agent can publish and manage a departure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3. Reliable reservations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Inventory holds, pricing quotes, request-to-book, manual confirmations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Concurrent last-seat tests, no false confirmations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4. Payments &amp; payouts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Gateway payment capture verification, supplier bank validation, scheduled eligible payouts, refunds/reconciliation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Live low-volume pilot passes finance reconciliation</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5. Optimization &amp; expansion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Dynamic pricing, partner API, hotel/activities integrations, B2B company modules and analytics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Measured conversion, margin, reliability and partner SLAs</w:t>
            </w:r>
          </w:p>
        </w:tc>
      </w:tr>
    </w:tbl>
    <w:p>
      <w:pPr>
        <w:spacing w:after="0"/>
      </w:pPr>
    </w:p>
    <w:p>
      <w:pPr>
        <w:widowControl/>
      </w:pPr>
      <w:r>
        <w:rPr>
          <w:b w:val="0"/>
          <w:i w:val="0"/>
        </w:rPr>
        <w:t xml:space="preserve">These are sequential </w:t>
      </w:r>
      <w:r>
        <w:rPr>
          <w:b/>
          <w:i w:val="0"/>
        </w:rPr>
        <w:t>capability stages</w:t>
      </w:r>
      <w:r>
        <w:rPr>
          <w:b w:val="0"/>
          <w:i w:val="0"/>
        </w:rPr>
        <w:t>, not fixed calendar commitments. For safety, do not accept real-money bookings until stages 2–4 pass go-live gates and legal/payment-provider onboarding is complete.</w:t>
      </w:r>
    </w:p>
    <w:p>
      <w:pPr>
        <w:pStyle w:val="Heading2"/>
      </w:pPr>
      <w:r>
        <w:rPr>
          <w:b w:val="0"/>
          <w:i w:val="0"/>
        </w:rPr>
        <w:t>42. Suggested engineering workstreams</w:t>
      </w:r>
    </w:p>
    <w:p>
      <w:pPr>
        <w:widowControl/>
      </w:pPr>
      <w:r>
        <w:rPr>
          <w:b/>
          <w:i w:val="0"/>
        </w:rPr>
        <w:t>Product/UX:</w:t>
      </w:r>
      <w:r>
        <w:rPr>
          <w:b w:val="0"/>
          <w:i w:val="0"/>
        </w:rPr>
        <w:t xml:space="preserve"> booking disclosure, package details, partner workflow, company approval, mobile accessibility. </w:t>
      </w:r>
      <w:r>
        <w:rPr>
          <w:b/>
          <w:i w:val="0"/>
        </w:rPr>
        <w:t>Backend:</w:t>
      </w:r>
      <w:r>
        <w:rPr>
          <w:b w:val="0"/>
          <w:i w:val="0"/>
        </w:rPr>
        <w:t xml:space="preserve"> modular contracts, tenancy, inventory/quote invariants, payment and ledger state machines. </w:t>
      </w:r>
      <w:r>
        <w:rPr>
          <w:b/>
          <w:i w:val="0"/>
        </w:rPr>
        <w:t>Data:</w:t>
      </w:r>
      <w:r>
        <w:rPr>
          <w:b w:val="0"/>
          <w:i w:val="0"/>
        </w:rPr>
        <w:t xml:space="preserve"> catalogs, link place IDs, ETL and search, provider provenance, schema migration. </w:t>
      </w:r>
      <w:r>
        <w:rPr>
          <w:b/>
          <w:i w:val="0"/>
        </w:rPr>
        <w:t>AI:</w:t>
      </w:r>
      <w:r>
        <w:rPr>
          <w:b w:val="0"/>
          <w:i w:val="0"/>
        </w:rPr>
        <w:t xml:space="preserve"> tools/RAG, guardrails, evaluation/tracing. </w:t>
      </w:r>
      <w:r>
        <w:rPr>
          <w:b/>
          <w:i w:val="0"/>
        </w:rPr>
        <w:t>Finance/risk:</w:t>
      </w:r>
      <w:r>
        <w:rPr>
          <w:b w:val="0"/>
          <w:i w:val="0"/>
        </w:rPr>
        <w:t xml:space="preserve"> gateway integrations, tax/refunds, settlement reconciliation, supplier verification. </w:t>
      </w:r>
      <w:r>
        <w:rPr>
          <w:b/>
          <w:i w:val="0"/>
        </w:rPr>
        <w:t>DevOps/QA:</w:t>
      </w:r>
      <w:r>
        <w:rPr>
          <w:b w:val="0"/>
          <w:i w:val="0"/>
        </w:rPr>
        <w:t xml:space="preserve"> CI migrations, backups, secret management, environments, automated race testing and incident response.</w:t>
      </w:r>
    </w:p>
    <w:p>
      <w:pPr>
        <w:widowControl/>
      </w:pPr>
      <w:r>
        <w:rPr>
          <w:b w:val="0"/>
          <w:i w:val="0"/>
        </w:rPr>
        <w:t>For a small founding team, assign explicit owners even if one engineer performs several roles. A part-time payments/compliance advisor and pilot tour operator feedback are more important initially than an elaborate microservice architecture.</w:t>
      </w:r>
    </w:p>
    <w:p>
      <w:pPr>
        <w:pStyle w:val="Heading2"/>
      </w:pPr>
      <w:r>
        <w:rPr>
          <w:b w:val="0"/>
          <w:i w:val="0"/>
        </w:rPr>
        <w:t>43. Acceptance tests and failure-injection matrix</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382"/>
        <w:gridCol w:w="6281"/>
      </w:tblGrid>
      <w:tr>
        <w:trPr>
          <w:tblHeader w:val="true"/>
        </w:trPr>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Test</w:t>
            </w:r>
          </w:p>
        </w:tc>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Expected system behavior</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Two buyers simultaneously request the last seat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Exactly one reservation succeeds; second gets unavailable</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Customer closes tab after gateway success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Verified webhook/API reconciliation still updates booking</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Duplicate, delayed or out-of-order webhook</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No duplicate capture, reservation, refund or payout</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Payment succeeds after hold expires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Reconfirm stock or safely void/refund; no overbooking</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Supplier sells seats offline without sync</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UI does not claim guaranteed remaining seat count</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Supplier changes price during checkout</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Existing valid quote honored if allowed; otherwise explicit repricing and consent</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Supplier edits capacity below confirmed bookings</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Reject edit or require controlled admin remediation</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Refund after advance payout</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Reconcile vendor liability and payout recovery policy</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Bad/changed bank account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Block or hold payout and verify beneficiary safely</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User joins unrelated organization URL</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No disclosure without authorized membership</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User repeatedly searches a package</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No personalized artificial price increase caused solely by their searches</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Booker's card-saving preference is off</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No reusable payment token stored in TripRaft</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Source photo license absent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Do not publish it without suitable authorization/attribution</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Routing coordinate missing</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Show degraded route option, not fabricated optimization</w:t>
            </w:r>
          </w:p>
        </w:tc>
      </w:tr>
    </w:tbl>
    <w:p>
      <w:pPr>
        <w:spacing w:after="0"/>
      </w:pPr>
    </w:p>
    <w:p>
      <w:pPr>
        <w:pStyle w:val="Heading2"/>
      </w:pPr>
      <w:r>
        <w:rPr>
          <w:b w:val="0"/>
          <w:i w:val="0"/>
        </w:rPr>
        <w:t>44. Nonfunctional requirements and monitoring</w:t>
      </w:r>
    </w:p>
    <w:p>
      <w:pPr>
        <w:widowControl/>
      </w:pPr>
      <w:r>
        <w:rPr>
          <w:b w:val="0"/>
          <w:i w:val="0"/>
        </w:rPr>
        <w:t>Initial targets—not measured results—could include availability lookups under a 2-second p95 for controlled inventory, checkout APIs under 3-second p95 excluding gateway redirects, 99.9% uptime objective for critical booking endpoints, and a reconciliation run at least daily. Establish baselines in staging and revise using real load/provider latency. Hard financial correctness and security take precedence over cosmetic speed targets.</w:t>
      </w:r>
    </w:p>
    <w:p>
      <w:pPr>
        <w:widowControl/>
      </w:pPr>
      <w:r>
        <w:rPr>
          <w:b w:val="0"/>
          <w:i w:val="0"/>
        </w:rPr>
        <w:t>Dashboards should show booking funnel, quote-to-hold, hold-to-payment, payment-to-confirmed, cancellation/refund rate, overbooking incidents, source freshness, supplier fulfillment SLA, payout backlog, bank reconciliation exceptions, price contribution by departure, gross booking value versus net platform revenue, group engagement, itinerary edit success, AI grounding and external API spend.</w:t>
      </w:r>
    </w:p>
    <w:p>
      <w:pPr>
        <w:widowControl/>
      </w:pPr>
      <w:r>
        <w:rPr>
          <w:b w:val="0"/>
          <w:i w:val="0"/>
        </w:rPr>
        <w:t>Alerts: inventory invariant violation, payment captured but booking unconfirmed, booking confirmed without verified payment (unless intentionally pay-later), payout status stale, duplicate processor event rate, reconciliation mismatch, supplier sync failure, unusual refund spike and AI agent unauthorized action attempts. Keep event-level tracing across booking ID, quote ID, supplier ID and provider payment IDs.</w:t>
      </w:r>
    </w:p>
    <w:p>
      <w:pPr>
        <w:pStyle w:val="Heading2"/>
      </w:pPr>
      <w:r>
        <w:rPr>
          <w:b w:val="0"/>
          <w:i w:val="0"/>
        </w:rPr>
        <w:t>45. Pilot launch and rollout gates</w:t>
      </w:r>
    </w:p>
    <w:p>
      <w:pPr>
        <w:widowControl/>
      </w:pPr>
      <w:r>
        <w:rPr>
          <w:b w:val="0"/>
          <w:i w:val="0"/>
        </w:rPr>
        <w:t>Pilot with a small number of vetted tour operators in one market, a narrow package catalog, one payment provider, fixed/net-rate contracts, and clearly defined 10-minute local inventory holds. Before expanding: validate real departures, booking and payout SLAs, travel assistance availability, request-to-book fallback, refund finances, tax invoices, dispute responsibility, source of seat truth and privacy response process. Only add dynamic price increases after baseline sell-through and conversion are measurable.</w:t>
      </w:r>
    </w:p>
    <w:p>
      <w:pPr>
        <w:widowControl/>
      </w:pPr>
      <w:r>
        <w:rPr>
          <w:b w:val="0"/>
          <w:i w:val="0"/>
        </w:rPr>
        <w:t>For first public release, an excellent experience is a verified package that reliably books, pays and reaches its supplier—not thousands of listings with ambiguous capacity.</w:t>
      </w:r>
    </w:p>
    <w:p>
      <w:pPr>
        <w:pStyle w:val="Heading2"/>
      </w:pPr>
      <w:r>
        <w:rPr>
          <w:b w:val="0"/>
          <w:i w:val="0"/>
        </w:rPr>
        <w:t>46. Critical open decisions (owners needed)</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285"/>
        <w:gridCol w:w="3189"/>
        <w:gridCol w:w="3189"/>
      </w:tblGrid>
      <w:tr>
        <w:trPr>
          <w:tblHeader w:val="true"/>
        </w:trPr>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Decision</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Why it matters</w:t>
            </w:r>
          </w:p>
        </w:tc>
        <w:tc>
          <w:tcPr>
            <w:tcW w:type="dxa" w:w="322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Suggested owner</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Incorporation / merchant country and operating market</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Limits payment gateway, taxes, supplier remittance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Founder + legal/finance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Supplier pricing: net or commission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Governs who sets retail price and how revenue is recognized</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Business development</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Seller/merchant of record</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Determines refunds, liability, disclosures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Legal + payments</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Exclusive allotment vs offline request confirmation</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Determines whether exact seats and instant booking are trustworthy</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Supplier operations</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Deposit/full payment and vendor payout milestones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Determines cash flow, chargeback/refund exposure</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Finance + provider</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Cancellation policy and supplier breach penalties</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Prevents surprise losses and customer harm</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Operations + legal</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Country/currency and FX quote policy</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Drives gateway processing and invoices</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Finance</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Which group planning features are already live</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Avoids rebuilding an existing app module</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Engineering</w:t>
            </w:r>
          </w:p>
        </w:tc>
      </w:tr>
      <w:tr>
        <w:trPr>
          <w:cantSplit/>
        </w:trPr>
        <w:tc>
          <w:tcPr>
            <w:tcW w:type="dxa" w:w="3285"/>
            <w:vAlign w:val="center"/>
            <w:tcMar>
              <w:top w:w="85" w:type="dxa"/>
              <w:start w:w="95" w:type="dxa"/>
              <w:bottom w:w="85" w:type="dxa"/>
              <w:end w:w="95" w:type="dxa"/>
            </w:tcMar>
          </w:tcPr>
          <w:p>
            <w:pPr>
              <w:pStyle w:val="TableText"/>
              <w:spacing w:after="0"/>
            </w:pPr>
            <w:r>
              <w:rPr>
                <w:sz w:val="16"/>
              </w:rPr>
            </w:r>
            <w:r>
              <w:rPr>
                <w:b w:val="0"/>
                <w:i w:val="0"/>
                <w:sz w:val="16"/>
              </w:rPr>
              <w:t>Catalog deployment currently serving production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Prevents destructive canonical data migration</w:t>
            </w:r>
          </w:p>
        </w:tc>
        <w:tc>
          <w:tcPr>
            <w:tcW w:type="dxa" w:w="3189"/>
            <w:vAlign w:val="center"/>
            <w:tcMar>
              <w:top w:w="85" w:type="dxa"/>
              <w:start w:w="95" w:type="dxa"/>
              <w:bottom w:w="85" w:type="dxa"/>
              <w:end w:w="95" w:type="dxa"/>
            </w:tcMar>
          </w:tcPr>
          <w:p>
            <w:pPr>
              <w:pStyle w:val="TableText"/>
              <w:spacing w:after="0"/>
            </w:pPr>
            <w:r>
              <w:rPr>
                <w:sz w:val="16"/>
              </w:rPr>
            </w:r>
            <w:r>
              <w:rPr>
                <w:b w:val="0"/>
                <w:i w:val="0"/>
                <w:sz w:val="16"/>
              </w:rPr>
              <w:t>Data engineering</w:t>
            </w:r>
          </w:p>
        </w:tc>
      </w:tr>
      <w:tr>
        <w:trPr>
          <w:cantSplit/>
        </w:trPr>
        <w:tc>
          <w:tcPr>
            <w:tcW w:type="dxa" w:w="3285"/>
            <w:vAlign w:val="center"/>
            <w:tcMar>
              <w:top w:w="85" w:type="dxa"/>
              <w:start w:w="95" w:type="dxa"/>
              <w:bottom w:w="85" w:type="dxa"/>
              <w:end w:w="95" w:type="dxa"/>
            </w:tcMar>
            <w:shd w:fill="F3F7FA"/>
          </w:tcPr>
          <w:p>
            <w:pPr>
              <w:pStyle w:val="TableText"/>
              <w:spacing w:after="0"/>
            </w:pPr>
            <w:r>
              <w:rPr>
                <w:sz w:val="16"/>
              </w:rPr>
            </w:r>
            <w:r>
              <w:rPr>
                <w:b w:val="0"/>
                <w:i w:val="0"/>
                <w:sz w:val="16"/>
              </w:rPr>
              <w:t>First partner API (tour supplier, hotel or activity)</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Sets integration work, margin and experience</w:t>
            </w:r>
          </w:p>
        </w:tc>
        <w:tc>
          <w:tcPr>
            <w:tcW w:type="dxa" w:w="3189"/>
            <w:vAlign w:val="center"/>
            <w:tcMar>
              <w:top w:w="85" w:type="dxa"/>
              <w:start w:w="95" w:type="dxa"/>
              <w:bottom w:w="85" w:type="dxa"/>
              <w:end w:w="95" w:type="dxa"/>
            </w:tcMar>
            <w:shd w:fill="F3F7FA"/>
          </w:tcPr>
          <w:p>
            <w:pPr>
              <w:pStyle w:val="TableText"/>
              <w:spacing w:after="0"/>
            </w:pPr>
            <w:r>
              <w:rPr>
                <w:sz w:val="16"/>
              </w:rPr>
            </w:r>
            <w:r>
              <w:rPr>
                <w:b w:val="0"/>
                <w:i w:val="0"/>
                <w:sz w:val="16"/>
              </w:rPr>
              <w:t>Product + partnerships</w:t>
            </w:r>
          </w:p>
        </w:tc>
      </w:tr>
    </w:tbl>
    <w:p>
      <w:pPr>
        <w:spacing w:after="0"/>
      </w:pPr>
    </w:p>
    <w:p>
      <w:r>
        <w:br w:type="page"/>
      </w:r>
    </w:p>
    <w:p>
      <w:pPr>
        <w:pStyle w:val="Heading1"/>
      </w:pPr>
      <w:r>
        <w:rPr>
          <w:b w:val="0"/>
          <w:i w:val="0"/>
        </w:rPr>
        <w:t>PART X — IMPLEMENTATION BACKLOG &amp; EXAMPLES</w:t>
      </w:r>
    </w:p>
    <w:p>
      <w:pPr>
        <w:pStyle w:val="Heading2"/>
      </w:pPr>
      <w:r>
        <w:rPr>
          <w:b w:val="0"/>
          <w:i w:val="0"/>
        </w:rPr>
        <w:t>47. Prioritized initial backlog</w:t>
      </w:r>
    </w:p>
    <w:p>
      <w:pPr>
        <w:widowControl/>
      </w:pPr>
      <w:r>
        <w:rPr>
          <w:b/>
          <w:i w:val="0"/>
        </w:rPr>
        <w:t>P0 — before real money:</w:t>
      </w:r>
      <w:r>
        <w:rPr>
          <w:b w:val="0"/>
          <w:i w:val="0"/>
        </w:rPr>
        <w:t xml:space="preserve"> user/workspace/supplier RBAC; supplier contract terms; source-of-truth inventory; capacity invariant; booking state machine; immutable quote; payment provider sandbox; signature-verified webhook; invoice/tax decisions; cancellation/refund wording; settlement/reconciliation record; operational support contacts; security testing.</w:t>
      </w:r>
    </w:p>
    <w:p>
      <w:pPr>
        <w:widowControl/>
      </w:pPr>
      <w:r>
        <w:rPr>
          <w:b/>
          <w:i w:val="0"/>
        </w:rPr>
        <w:t>P1 — first marketplace pilot:</w:t>
      </w:r>
      <w:r>
        <w:rPr>
          <w:b w:val="0"/>
          <w:i w:val="0"/>
        </w:rPr>
        <w:t xml:space="preserve"> partner portal listing and calendar, supplier verification, traveler detail forms, request-to-book flow, package search, vouchers, notifications, payouts dashboard, finance/admin exceptions, basic group-trip linkage, audit log, analytics events.</w:t>
      </w:r>
    </w:p>
    <w:p>
      <w:pPr>
        <w:widowControl/>
      </w:pPr>
      <w:r>
        <w:rPr>
          <w:b/>
          <w:i w:val="0"/>
        </w:rPr>
        <w:t>P2 — post-pilot:</w:t>
      </w:r>
      <w:r>
        <w:rPr>
          <w:b w:val="0"/>
          <w:i w:val="0"/>
        </w:rPr>
        <w:t xml:space="preserve"> demand-based pricing with approval bands, partner webhooks/API keys, bulk departure import, affiliate fallback, hotel/activity partner inventory, full company approval workflows, loyalty, saved provider tokenized cards, automatic reminder and disruption messaging.</w:t>
      </w:r>
    </w:p>
    <w:p>
      <w:pPr>
        <w:widowControl/>
      </w:pPr>
      <w:r>
        <w:rPr>
          <w:b/>
          <w:i w:val="0"/>
        </w:rPr>
        <w:t>P3 — mature platform:</w:t>
      </w:r>
      <w:r>
        <w:rPr>
          <w:b w:val="0"/>
          <w:i w:val="0"/>
        </w:rPr>
        <w:t xml:space="preserve"> capacity forecasts, ML conversion optimization, negotiated enterprise rates, bundled multi-provider reservations, richer route optimization, multilingual content QA, subscription plans for suppliers and full finance ERP exports.</w:t>
      </w:r>
    </w:p>
    <w:p>
      <w:pPr>
        <w:pStyle w:val="Heading2"/>
      </w:pPr>
      <w:r>
        <w:rPr>
          <w:b w:val="0"/>
          <w:i w:val="0"/>
        </w:rPr>
        <w:t>48. Three canonical user journeys</w:t>
      </w:r>
    </w:p>
    <w:p>
      <w:pPr>
        <w:widowControl/>
      </w:pPr>
      <w:r>
        <w:rPr>
          <w:b/>
          <w:i w:val="0"/>
        </w:rPr>
        <w:t>Journey A: Family group plans and books a package.</w:t>
      </w:r>
      <w:r>
        <w:rPr>
          <w:b w:val="0"/>
          <w:i w:val="0"/>
        </w:rPr>
        <w:t xml:space="preserve"> Organizer creates a TripRaft circle, invites family, uses Scout to find Manali, Crew proposes a four-day itinerary, members vote on departure, package screen shows a confirmed 10-seat allotment, organizer chooses 4 passengers, TripRaft creates a time-limited quote, gateway verifies payment, inventory is decremented, agent gets a manifest and upcoming payout, everyone receives confirmations and can split expenses afterward.</w:t>
      </w:r>
    </w:p>
    <w:p>
      <w:pPr>
        <w:widowControl/>
      </w:pPr>
      <w:r>
        <w:rPr>
          <w:b/>
          <w:i w:val="0"/>
        </w:rPr>
        <w:t>Journey B: Offline tour agent with no website.</w:t>
      </w:r>
      <w:r>
        <w:rPr>
          <w:b w:val="0"/>
          <w:i w:val="0"/>
        </w:rPr>
        <w:t xml:space="preserve"> Agent verifies business and bank beneficiary, signs a net-price contract for ₹13,500 per traveler, adds dates and inclusions via a mobile Partner Portal, chooses request-to-book because offline sales continue, receives booking inquiry, confirms remaining capacity, traveler completes eligible payment, TripRaft confirms booking and displays payout schedule. Agent uses dashboard, CSV and notifications; no API engineering required.</w:t>
      </w:r>
    </w:p>
    <w:p>
      <w:pPr>
        <w:widowControl/>
      </w:pPr>
      <w:r>
        <w:rPr>
          <w:b/>
          <w:i w:val="0"/>
        </w:rPr>
        <w:t>Journey C: Company employee requests travel.</w:t>
      </w:r>
      <w:r>
        <w:rPr>
          <w:b w:val="0"/>
          <w:i w:val="0"/>
        </w:rPr>
        <w:t xml:space="preserve"> Employee builds itinerary and budget in company workspace, submits approval, manager accepts policy exception, company books from verified supplier, finance sees expense allocation and applicable invoice, operator only receives necessary traveler details, workspace retains receipts and trip status for authorized users.</w:t>
      </w:r>
    </w:p>
    <w:p>
      <w:pPr>
        <w:pStyle w:val="Heading2"/>
      </w:pPr>
      <w:r>
        <w:rPr>
          <w:b w:val="0"/>
          <w:i w:val="0"/>
        </w:rPr>
        <w:t>49. Example accounting / operations scenario</w:t>
      </w:r>
    </w:p>
    <w:p>
      <w:pPr>
        <w:widowControl/>
      </w:pPr>
      <w:r>
        <w:rPr>
          <w:b w:val="0"/>
          <w:i w:val="0"/>
        </w:rPr>
        <w:t>A customer pays ₹15,000; operator net cost is ₹13,500; TripRaft gross contribution is ₹1,500. Hypothetically gateway fees cost ₹300 and TripRaft-funded acquisition coupon is ₹500: remaining contribution before taxes, staffing and other indirect costs is ₹700. Whether the ₹15,000 is accounted as gross revenue or only the ₹1,500 as revenue depends on who is principal versus agent and the actual contract/accounting rules. Finance must decide recognition policy, not the UI.</w:t>
      </w:r>
    </w:p>
    <w:p>
      <w:pPr>
        <w:widowControl/>
      </w:pPr>
      <w:r>
        <w:rPr>
          <w:b w:val="0"/>
          <w:i w:val="0"/>
        </w:rPr>
        <w:t>For 10 seats sold at illustrated tiers (4 × ₹14,500; 3 × ₹15,500; 2 × ₹16,500; 1 × ₹17,500), gross supplier payable = ₹135,000; gross consumer sales = ₹155,000; gross contribution = ₹20,000. This illustration assumes all ten actually convert at listed prices, a fixed ₹13,500 net cost per seat, and no other fees—none is guaranteed in real demand.</w:t>
      </w:r>
    </w:p>
    <w:p>
      <w:pPr>
        <w:pStyle w:val="Heading2"/>
      </w:pPr>
      <w:r>
        <w:rPr>
          <w:b w:val="0"/>
          <w:i w:val="0"/>
        </w:rPr>
        <w:t>50. Recommended immediate decisions and next build sprint</w:t>
      </w:r>
    </w:p>
    <w:p>
      <w:pPr>
        <w:widowControl/>
      </w:pPr>
      <w:r>
        <w:rPr>
          <w:b w:val="0"/>
          <w:i w:val="0"/>
        </w:rPr>
        <w:t xml:space="preserve">Agree on </w:t>
      </w:r>
      <w:r>
        <w:rPr>
          <w:b/>
          <w:i w:val="0"/>
        </w:rPr>
        <w:t>one first geography, one merchant/legal entity and one supplier contract template</w:t>
      </w:r>
      <w:r>
        <w:rPr>
          <w:b w:val="0"/>
          <w:i w:val="0"/>
        </w:rPr>
        <w:t xml:space="preserve">. Prototype the supplier onboarding and departure calendar. Implement a Postgres inventory/quote/booking skeleton plus signed gateway sandbox callbacks. Pilot one ₹15,000 offline package on </w:t>
      </w:r>
      <w:r>
        <w:rPr>
          <w:rFonts w:ascii="Consolas" w:hAnsi="Consolas"/>
          <w:b w:val="0"/>
          <w:i w:val="0"/>
          <w:color w:val="0C7A75"/>
          <w:sz w:val="16"/>
        </w:rPr>
        <w:t>REQUEST_TO_BOOK</w:t>
      </w:r>
      <w:r>
        <w:rPr>
          <w:b w:val="0"/>
          <w:i w:val="0"/>
        </w:rPr>
        <w:t>; switch it to instant booking only after guaranteed allotment/automated synchronization. Connect that booking into the group trip, notifications and expenses. Preserve the canonical DB and ongoing enrichment work throughout.</w:t>
      </w:r>
    </w:p>
    <w:p>
      <w:pPr>
        <w:widowControl/>
      </w:pPr>
      <w:r>
        <w:rPr>
          <w:b w:val="0"/>
          <w:i w:val="0"/>
        </w:rPr>
        <w:t>When this sequence works for one legitimate operator with real money, extending it to more suppliers becomes an integration and risk-management problem rather than redesigning the core architecture.</w:t>
      </w:r>
    </w:p>
    <w:p>
      <w:r>
        <w:br w:type="page"/>
      </w:r>
    </w:p>
    <w:p>
      <w:pPr>
        <w:pStyle w:val="Heading1"/>
        <w:keepNext/>
        <w:spacing w:before="360"/>
      </w:pPr>
      <w:r>
        <w:t>PART XI — BOTH BUSINESS MODELS IN ONE TRIPRAFT</w:t>
      </w:r>
    </w:p>
    <w:p>
      <w:pPr>
        <w:pStyle w:val="Heading2"/>
        <w:keepNext/>
        <w:spacing w:before="240"/>
      </w:pPr>
      <w:r>
        <w:t>51. Recommended operating model and scope</w:t>
      </w:r>
    </w:p>
    <w:p>
      <w:pPr>
        <w:spacing w:after="100"/>
      </w:pPr>
      <w:r>
        <w:t>One marketplace website can host BOTH offer types. Launch primarily with operator-led marketplace tours (MODE = MARKETPLACE); enable selected TripRaft resale inventory (MODE = RESELLER) only after signed wholesale contracts, payment-provider approval, and tax-invoicing review. The customer can use the same search, package, group-planning and checkout screens; financial behavior branches on a locked offer mode.</w:t>
      </w:r>
    </w:p>
    <w:tbl>
      <w:tblPr>
        <w:tblW w:type="auto" w:w="0"/>
        <w:tblLook w:firstColumn="1" w:firstRow="1" w:lastColumn="0" w:lastRow="0" w:noHBand="0" w:noVBand="1" w:val="04A0"/>
      </w:tblPr>
      <w:tblGrid>
        <w:gridCol w:w="9994"/>
      </w:tblGrid>
      <w:tr>
        <w:tc>
          <w:tcPr>
            <w:tcW w:type="dxa" w:w="9994"/>
            <w:shd w:fill="EDF6F4"/>
          </w:tcPr>
          <w:p>
            <w:pPr>
              <w:spacing w:after="0"/>
            </w:pPr>
            <w:r>
              <w:rPr>
                <w:b/>
                <w:color w:val="0C726D"/>
                <w:sz w:val="18"/>
              </w:rPr>
              <w:t>Critical architecture rule: sale_model is an immutable property of a published offer / departure / accepted quote. It is not a switch finance staff may flip after a customer pays.</w:t>
            </w:r>
          </w:p>
        </w:tc>
      </w:tr>
    </w:tbl>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Dimension</w:t>
            </w:r>
          </w:p>
        </w:tc>
        <w:tc>
          <w:tcPr>
            <w:tcW w:type="dxa" w:w="3331"/>
            <w:shd w:fill="164A60"/>
          </w:tcPr>
          <w:p>
            <w:r>
              <w:rPr>
                <w:b/>
                <w:color w:val="FFFFFF"/>
                <w:sz w:val="16"/>
              </w:rPr>
              <w:t>MARKETPLACE / agent seller</w:t>
            </w:r>
          </w:p>
        </w:tc>
        <w:tc>
          <w:tcPr>
            <w:tcW w:type="dxa" w:w="3331"/>
            <w:shd w:fill="164A60"/>
          </w:tcPr>
          <w:p>
            <w:r>
              <w:rPr>
                <w:b/>
                <w:color w:val="FFFFFF"/>
                <w:sz w:val="16"/>
              </w:rPr>
              <w:t>RESELLER / TripRaft seller</w:t>
            </w:r>
          </w:p>
        </w:tc>
      </w:tr>
      <w:tr>
        <w:tc>
          <w:tcPr>
            <w:tcW w:type="dxa" w:w="3331"/>
            <w:vAlign w:val="center"/>
          </w:tcPr>
          <w:p>
            <w:pPr>
              <w:spacing w:after="20"/>
            </w:pPr>
            <w:r>
              <w:rPr>
                <w:sz w:val="16"/>
              </w:rPr>
              <w:t>Seller on customer invoice</w:t>
            </w:r>
          </w:p>
        </w:tc>
        <w:tc>
          <w:tcPr>
            <w:tcW w:type="dxa" w:w="3331"/>
            <w:vAlign w:val="center"/>
          </w:tcPr>
          <w:p>
            <w:pPr>
              <w:spacing w:after="20"/>
            </w:pPr>
            <w:r>
              <w:rPr>
                <w:sz w:val="16"/>
              </w:rPr>
              <w:t>Tour operator; TripRaft may invoice its own separate fee</w:t>
            </w:r>
          </w:p>
        </w:tc>
        <w:tc>
          <w:tcPr>
            <w:tcW w:type="dxa" w:w="3331"/>
            <w:vAlign w:val="center"/>
          </w:tcPr>
          <w:p>
            <w:pPr>
              <w:spacing w:after="20"/>
            </w:pPr>
            <w:r>
              <w:rPr>
                <w:sz w:val="16"/>
              </w:rPr>
              <w:t>TripRaft</w:t>
            </w:r>
          </w:p>
        </w:tc>
      </w:tr>
      <w:tr>
        <w:tc>
          <w:tcPr>
            <w:tcW w:type="dxa" w:w="3331"/>
            <w:vAlign w:val="center"/>
            <w:shd w:fill="F0F5F7"/>
          </w:tcPr>
          <w:p>
            <w:pPr>
              <w:spacing w:after="20"/>
            </w:pPr>
            <w:r>
              <w:rPr>
                <w:sz w:val="16"/>
              </w:rPr>
              <w:t>Public tour price</w:t>
            </w:r>
          </w:p>
        </w:tc>
        <w:tc>
          <w:tcPr>
            <w:tcW w:type="dxa" w:w="3331"/>
            <w:vAlign w:val="center"/>
            <w:shd w:fill="F0F5F7"/>
          </w:tcPr>
          <w:p>
            <w:pPr>
              <w:spacing w:after="20"/>
            </w:pPr>
            <w:r>
              <w:rPr>
                <w:sz w:val="16"/>
              </w:rPr>
              <w:t>Operator-authorized retail price; only approved discounts</w:t>
            </w:r>
          </w:p>
        </w:tc>
        <w:tc>
          <w:tcPr>
            <w:tcW w:type="dxa" w:w="3331"/>
            <w:vAlign w:val="center"/>
            <w:shd w:fill="F0F5F7"/>
          </w:tcPr>
          <w:p>
            <w:pPr>
              <w:spacing w:after="20"/>
            </w:pPr>
            <w:r>
              <w:rPr>
                <w:sz w:val="16"/>
              </w:rPr>
              <w:t>TripRaft sets price within wholesale agreement</w:t>
            </w:r>
          </w:p>
        </w:tc>
      </w:tr>
      <w:tr>
        <w:tc>
          <w:tcPr>
            <w:tcW w:type="dxa" w:w="3331"/>
            <w:vAlign w:val="center"/>
          </w:tcPr>
          <w:p>
            <w:pPr>
              <w:spacing w:after="20"/>
            </w:pPr>
            <w:r>
              <w:rPr>
                <w:sz w:val="16"/>
              </w:rPr>
              <w:t>TripRaft earns</w:t>
            </w:r>
          </w:p>
        </w:tc>
        <w:tc>
          <w:tcPr>
            <w:tcW w:type="dxa" w:w="3331"/>
            <w:vAlign w:val="center"/>
          </w:tcPr>
          <w:p>
            <w:pPr>
              <w:spacing w:after="20"/>
            </w:pPr>
            <w:r>
              <w:rPr>
                <w:sz w:val="16"/>
              </w:rPr>
              <w:t>Commission (plus optional separately justified service fee)</w:t>
            </w:r>
          </w:p>
        </w:tc>
        <w:tc>
          <w:tcPr>
            <w:tcW w:type="dxa" w:w="3331"/>
            <w:vAlign w:val="center"/>
          </w:tcPr>
          <w:p>
            <w:pPr>
              <w:spacing w:after="20"/>
            </w:pPr>
            <w:r>
              <w:rPr>
                <w:sz w:val="16"/>
              </w:rPr>
              <w:t>Resale margin (plus only legally supportable extra services)</w:t>
            </w:r>
          </w:p>
        </w:tc>
      </w:tr>
      <w:tr>
        <w:tc>
          <w:tcPr>
            <w:tcW w:type="dxa" w:w="3331"/>
            <w:vAlign w:val="center"/>
            <w:shd w:fill="F0F5F7"/>
          </w:tcPr>
          <w:p>
            <w:pPr>
              <w:spacing w:after="20"/>
            </w:pPr>
            <w:r>
              <w:rPr>
                <w:sz w:val="16"/>
              </w:rPr>
              <w:t>Supplier invoice</w:t>
            </w:r>
          </w:p>
        </w:tc>
        <w:tc>
          <w:tcPr>
            <w:tcW w:type="dxa" w:w="3331"/>
            <w:vAlign w:val="center"/>
            <w:shd w:fill="F0F5F7"/>
          </w:tcPr>
          <w:p>
            <w:pPr>
              <w:spacing w:after="20"/>
            </w:pPr>
            <w:r>
              <w:rPr>
                <w:sz w:val="16"/>
              </w:rPr>
              <w:t>Agent invoices traveler for package; TripRaft invoices agent for commission</w:t>
            </w:r>
          </w:p>
        </w:tc>
        <w:tc>
          <w:tcPr>
            <w:tcW w:type="dxa" w:w="3331"/>
            <w:vAlign w:val="center"/>
            <w:shd w:fill="F0F5F7"/>
          </w:tcPr>
          <w:p>
            <w:pPr>
              <w:spacing w:after="20"/>
            </w:pPr>
            <w:r>
              <w:rPr>
                <w:sz w:val="16"/>
              </w:rPr>
              <w:t>Agent invoices TripRaft for procured services; TripRaft invoices traveler</w:t>
            </w:r>
          </w:p>
        </w:tc>
      </w:tr>
      <w:tr>
        <w:tc>
          <w:tcPr>
            <w:tcW w:type="dxa" w:w="3331"/>
            <w:vAlign w:val="center"/>
          </w:tcPr>
          <w:p>
            <w:pPr>
              <w:spacing w:after="20"/>
            </w:pPr>
            <w:r>
              <w:rPr>
                <w:sz w:val="16"/>
              </w:rPr>
              <w:t>Tour GST base</w:t>
            </w:r>
          </w:p>
        </w:tc>
        <w:tc>
          <w:tcPr>
            <w:tcW w:type="dxa" w:w="3331"/>
            <w:vAlign w:val="center"/>
          </w:tcPr>
          <w:p>
            <w:pPr>
              <w:spacing w:after="20"/>
            </w:pPr>
            <w:r>
              <w:rPr>
                <w:sz w:val="16"/>
              </w:rPr>
              <w:t>Operator customer-facing taxable tour price</w:t>
            </w:r>
          </w:p>
        </w:tc>
        <w:tc>
          <w:tcPr>
            <w:tcW w:type="dxa" w:w="3331"/>
            <w:vAlign w:val="center"/>
          </w:tcPr>
          <w:p>
            <w:pPr>
              <w:spacing w:after="20"/>
            </w:pPr>
            <w:r>
              <w:rPr>
                <w:sz w:val="16"/>
              </w:rPr>
              <w:t>TripRaft customer-facing taxable tour price</w:t>
            </w:r>
          </w:p>
        </w:tc>
      </w:tr>
      <w:tr>
        <w:tc>
          <w:tcPr>
            <w:tcW w:type="dxa" w:w="3331"/>
            <w:vAlign w:val="center"/>
            <w:shd w:fill="F0F5F7"/>
          </w:tcPr>
          <w:p>
            <w:pPr>
              <w:spacing w:after="20"/>
            </w:pPr>
            <w:r>
              <w:rPr>
                <w:sz w:val="16"/>
              </w:rPr>
              <w:t>Refund obligations</w:t>
            </w:r>
          </w:p>
        </w:tc>
        <w:tc>
          <w:tcPr>
            <w:tcW w:type="dxa" w:w="3331"/>
            <w:vAlign w:val="center"/>
            <w:shd w:fill="F0F5F7"/>
          </w:tcPr>
          <w:p>
            <w:pPr>
              <w:spacing w:after="20"/>
            </w:pPr>
            <w:r>
              <w:rPr>
                <w:sz w:val="16"/>
              </w:rPr>
              <w:t>Shared per disclosed contracts; marketplace still owes process/support duties</w:t>
            </w:r>
          </w:p>
        </w:tc>
        <w:tc>
          <w:tcPr>
            <w:tcW w:type="dxa" w:w="3331"/>
            <w:vAlign w:val="center"/>
            <w:shd w:fill="F0F5F7"/>
          </w:tcPr>
          <w:p>
            <w:pPr>
              <w:spacing w:after="20"/>
            </w:pPr>
            <w:r>
              <w:rPr>
                <w:sz w:val="16"/>
              </w:rPr>
              <w:t>TripRaft carries greater primary customer-sale duties</w:t>
            </w:r>
          </w:p>
        </w:tc>
      </w:tr>
      <w:tr>
        <w:tc>
          <w:tcPr>
            <w:tcW w:type="dxa" w:w="3331"/>
            <w:vAlign w:val="center"/>
          </w:tcPr>
          <w:p>
            <w:pPr>
              <w:spacing w:after="20"/>
            </w:pPr>
            <w:r>
              <w:rPr>
                <w:sz w:val="16"/>
              </w:rPr>
              <w:t>Best early fit</w:t>
            </w:r>
          </w:p>
        </w:tc>
        <w:tc>
          <w:tcPr>
            <w:tcW w:type="dxa" w:w="3331"/>
            <w:vAlign w:val="center"/>
          </w:tcPr>
          <w:p>
            <w:pPr>
              <w:spacing w:after="20"/>
            </w:pPr>
            <w:r>
              <w:rPr>
                <w:sz w:val="16"/>
              </w:rPr>
              <w:t>Independent agents, wide inventory, low upfront commitments</w:t>
            </w:r>
          </w:p>
        </w:tc>
        <w:tc>
          <w:tcPr>
            <w:tcW w:type="dxa" w:w="3331"/>
            <w:vAlign w:val="center"/>
          </w:tcPr>
          <w:p>
            <w:pPr>
              <w:spacing w:after="20"/>
            </w:pPr>
            <w:r>
              <w:rPr>
                <w:sz w:val="16"/>
              </w:rPr>
              <w:t>Special negotiated deals, vetted operators, controlled offers</w:t>
            </w:r>
          </w:p>
        </w:tc>
      </w:tr>
    </w:tbl>
    <w:p/>
    <w:p>
      <w:pPr>
        <w:pStyle w:val="Heading2"/>
        <w:keepNext/>
        <w:spacing w:before="240"/>
      </w:pPr>
      <w:r>
        <w:t>52. Four-sided product: customer, group, supplier and administrator</w:t>
      </w:r>
    </w:p>
    <w:p>
      <w:pPr>
        <w:spacing w:after="100"/>
      </w:pPr>
      <w:r>
        <w:t>Consumer website / mobile: search destinations and offers, collaborate on itinerary, select date/room occupancy, view full tax-inclusive price, book, pay, download voucher, request support/refund. Supplier portal: KYB, contracts, package listing, departure calendar, rates, seat allotments, instant vs request-to-book, accepted bookings, manifests, fulfillment documents, payouts, reconciliation. TripRaft admin: provider approval, risk queue, margin rules, policy enforcement, settlements, invoices, audit trail and exceptions. Groups/organizations: shared planning, polls, invitations, expense splitting and travel manager controls.</w:t>
      </w:r>
    </w:p>
    <w:p>
      <w:pPr>
        <w:spacing w:before="100" w:after="80"/>
      </w:pPr>
      <w:r>
        <w:rPr>
          <w:b/>
          <w:color w:val="15394F"/>
        </w:rPr>
        <w:t>Visibility by model</w:t>
      </w:r>
    </w:p>
    <w:tbl>
      <w:tblPr>
        <w:tblStyle w:val="TableGrid"/>
        <w:tblW w:type="auto" w:w="0"/>
        <w:jc w:val="center"/>
        <w:tblLayout w:type="autofit"/>
        <w:tblLook w:firstColumn="1" w:firstRow="1" w:lastColumn="0" w:lastRow="0" w:noHBand="0" w:noVBand="1" w:val="04A0"/>
      </w:tblPr>
      <w:tblGrid>
        <w:gridCol w:w="2498"/>
        <w:gridCol w:w="2498"/>
        <w:gridCol w:w="2498"/>
        <w:gridCol w:w="2498"/>
      </w:tblGrid>
      <w:tr>
        <w:trPr>
          <w:tblHeader w:val="true"/>
        </w:trPr>
        <w:tc>
          <w:tcPr>
            <w:tcW w:type="dxa" w:w="2498"/>
            <w:shd w:fill="164A60"/>
          </w:tcPr>
          <w:p>
            <w:r>
              <w:rPr>
                <w:b/>
                <w:color w:val="FFFFFF"/>
                <w:sz w:val="16"/>
              </w:rPr>
              <w:t>Data</w:t>
            </w:r>
          </w:p>
        </w:tc>
        <w:tc>
          <w:tcPr>
            <w:tcW w:type="dxa" w:w="2498"/>
            <w:shd w:fill="164A60"/>
          </w:tcPr>
          <w:p>
            <w:r>
              <w:rPr>
                <w:b/>
                <w:color w:val="FFFFFF"/>
                <w:sz w:val="16"/>
              </w:rPr>
              <w:t>Customer</w:t>
            </w:r>
          </w:p>
        </w:tc>
        <w:tc>
          <w:tcPr>
            <w:tcW w:type="dxa" w:w="2498"/>
            <w:shd w:fill="164A60"/>
          </w:tcPr>
          <w:p>
            <w:r>
              <w:rPr>
                <w:b/>
                <w:color w:val="FFFFFF"/>
                <w:sz w:val="16"/>
              </w:rPr>
              <w:t>Agent</w:t>
            </w:r>
          </w:p>
        </w:tc>
        <w:tc>
          <w:tcPr>
            <w:tcW w:type="dxa" w:w="2498"/>
            <w:shd w:fill="164A60"/>
          </w:tcPr>
          <w:p>
            <w:r>
              <w:rPr>
                <w:b/>
                <w:color w:val="FFFFFF"/>
                <w:sz w:val="16"/>
              </w:rPr>
              <w:t>TripRaft admin</w:t>
            </w:r>
          </w:p>
        </w:tc>
      </w:tr>
      <w:tr>
        <w:tc>
          <w:tcPr>
            <w:tcW w:type="dxa" w:w="2498"/>
            <w:vAlign w:val="center"/>
          </w:tcPr>
          <w:p>
            <w:pPr>
              <w:spacing w:after="20"/>
            </w:pPr>
            <w:r>
              <w:rPr>
                <w:sz w:val="16"/>
              </w:rPr>
              <w:t>Public listed price, taxes, availability</w:t>
            </w:r>
          </w:p>
        </w:tc>
        <w:tc>
          <w:tcPr>
            <w:tcW w:type="dxa" w:w="2498"/>
            <w:vAlign w:val="center"/>
          </w:tcPr>
          <w:p>
            <w:pPr>
              <w:spacing w:after="20"/>
            </w:pPr>
            <w:r>
              <w:rPr>
                <w:sz w:val="16"/>
              </w:rPr>
              <w:t>Yes</w:t>
            </w:r>
          </w:p>
        </w:tc>
        <w:tc>
          <w:tcPr>
            <w:tcW w:type="dxa" w:w="2498"/>
            <w:vAlign w:val="center"/>
          </w:tcPr>
          <w:p>
            <w:pPr>
              <w:spacing w:after="20"/>
            </w:pPr>
            <w:r>
              <w:rPr>
                <w:sz w:val="16"/>
              </w:rPr>
              <w:t>Yes (own listing)</w:t>
            </w:r>
          </w:p>
        </w:tc>
        <w:tc>
          <w:tcPr>
            <w:tcW w:type="dxa" w:w="2498"/>
            <w:vAlign w:val="center"/>
          </w:tcPr>
          <w:p>
            <w:pPr>
              <w:spacing w:after="20"/>
            </w:pPr>
            <w:r>
              <w:rPr>
                <w:sz w:val="16"/>
              </w:rPr>
              <w:t>Yes</w:t>
            </w:r>
          </w:p>
        </w:tc>
      </w:tr>
      <w:tr>
        <w:tc>
          <w:tcPr>
            <w:tcW w:type="dxa" w:w="2498"/>
            <w:vAlign w:val="center"/>
            <w:shd w:fill="F0F5F7"/>
          </w:tcPr>
          <w:p>
            <w:pPr>
              <w:spacing w:after="20"/>
            </w:pPr>
            <w:r>
              <w:rPr>
                <w:sz w:val="16"/>
              </w:rPr>
              <w:t>Passenger details needed for fulfillment</w:t>
            </w:r>
          </w:p>
        </w:tc>
        <w:tc>
          <w:tcPr>
            <w:tcW w:type="dxa" w:w="2498"/>
            <w:vAlign w:val="center"/>
            <w:shd w:fill="F0F5F7"/>
          </w:tcPr>
          <w:p>
            <w:pPr>
              <w:spacing w:after="20"/>
            </w:pPr>
            <w:r>
              <w:rPr>
                <w:sz w:val="16"/>
              </w:rPr>
              <w:t>Own booking / consented details</w:t>
            </w:r>
          </w:p>
        </w:tc>
        <w:tc>
          <w:tcPr>
            <w:tcW w:type="dxa" w:w="2498"/>
            <w:vAlign w:val="center"/>
            <w:shd w:fill="F0F5F7"/>
          </w:tcPr>
          <w:p>
            <w:pPr>
              <w:spacing w:after="20"/>
            </w:pPr>
            <w:r>
              <w:rPr>
                <w:sz w:val="16"/>
              </w:rPr>
              <w:t>Own booking, least-privilege</w:t>
            </w:r>
          </w:p>
        </w:tc>
        <w:tc>
          <w:tcPr>
            <w:tcW w:type="dxa" w:w="2498"/>
            <w:vAlign w:val="center"/>
            <w:shd w:fill="F0F5F7"/>
          </w:tcPr>
          <w:p>
            <w:pPr>
              <w:spacing w:after="20"/>
            </w:pPr>
            <w:r>
              <w:rPr>
                <w:sz w:val="16"/>
              </w:rPr>
              <w:t>As required by support role</w:t>
            </w:r>
          </w:p>
        </w:tc>
      </w:tr>
      <w:tr>
        <w:tc>
          <w:tcPr>
            <w:tcW w:type="dxa" w:w="2498"/>
            <w:vAlign w:val="center"/>
          </w:tcPr>
          <w:p>
            <w:pPr>
              <w:spacing w:after="20"/>
            </w:pPr>
            <w:r>
              <w:rPr>
                <w:sz w:val="16"/>
              </w:rPr>
              <w:t>Supplier net rate / marketplace commission</w:t>
            </w:r>
          </w:p>
        </w:tc>
        <w:tc>
          <w:tcPr>
            <w:tcW w:type="dxa" w:w="2498"/>
            <w:vAlign w:val="center"/>
          </w:tcPr>
          <w:p>
            <w:pPr>
              <w:spacing w:after="20"/>
            </w:pPr>
            <w:r>
              <w:rPr>
                <w:sz w:val="16"/>
              </w:rPr>
              <w:t>No</w:t>
            </w:r>
          </w:p>
        </w:tc>
        <w:tc>
          <w:tcPr>
            <w:tcW w:type="dxa" w:w="2498"/>
            <w:vAlign w:val="center"/>
          </w:tcPr>
          <w:p>
            <w:pPr>
              <w:spacing w:after="20"/>
            </w:pPr>
            <w:r>
              <w:rPr>
                <w:sz w:val="16"/>
              </w:rPr>
              <w:t>Own contract and settlement terms</w:t>
            </w:r>
          </w:p>
        </w:tc>
        <w:tc>
          <w:tcPr>
            <w:tcW w:type="dxa" w:w="2498"/>
            <w:vAlign w:val="center"/>
          </w:tcPr>
          <w:p>
            <w:pPr>
              <w:spacing w:after="20"/>
            </w:pPr>
            <w:r>
              <w:rPr>
                <w:sz w:val="16"/>
              </w:rPr>
              <w:t>Yes</w:t>
            </w:r>
          </w:p>
        </w:tc>
      </w:tr>
      <w:tr>
        <w:tc>
          <w:tcPr>
            <w:tcW w:type="dxa" w:w="2498"/>
            <w:vAlign w:val="center"/>
            <w:shd w:fill="F0F5F7"/>
          </w:tcPr>
          <w:p>
            <w:pPr>
              <w:spacing w:after="20"/>
            </w:pPr>
            <w:r>
              <w:rPr>
                <w:sz w:val="16"/>
              </w:rPr>
              <w:t>TripRaft unit margins / fraud investigations</w:t>
            </w:r>
          </w:p>
        </w:tc>
        <w:tc>
          <w:tcPr>
            <w:tcW w:type="dxa" w:w="2498"/>
            <w:vAlign w:val="center"/>
            <w:shd w:fill="F0F5F7"/>
          </w:tcPr>
          <w:p>
            <w:pPr>
              <w:spacing w:after="20"/>
            </w:pPr>
            <w:r>
              <w:rPr>
                <w:sz w:val="16"/>
              </w:rPr>
              <w:t>No</w:t>
            </w:r>
          </w:p>
        </w:tc>
        <w:tc>
          <w:tcPr>
            <w:tcW w:type="dxa" w:w="2498"/>
            <w:vAlign w:val="center"/>
            <w:shd w:fill="F0F5F7"/>
          </w:tcPr>
          <w:p>
            <w:pPr>
              <w:spacing w:after="20"/>
            </w:pPr>
            <w:r>
              <w:rPr>
                <w:sz w:val="16"/>
              </w:rPr>
              <w:t>No</w:t>
            </w:r>
          </w:p>
        </w:tc>
        <w:tc>
          <w:tcPr>
            <w:tcW w:type="dxa" w:w="2498"/>
            <w:vAlign w:val="center"/>
            <w:shd w:fill="F0F5F7"/>
          </w:tcPr>
          <w:p>
            <w:pPr>
              <w:spacing w:after="20"/>
            </w:pPr>
            <w:r>
              <w:rPr>
                <w:sz w:val="16"/>
              </w:rPr>
              <w:t>Role-restricted</w:t>
            </w:r>
          </w:p>
        </w:tc>
      </w:tr>
      <w:tr>
        <w:tc>
          <w:tcPr>
            <w:tcW w:type="dxa" w:w="2498"/>
            <w:vAlign w:val="center"/>
          </w:tcPr>
          <w:p>
            <w:pPr>
              <w:spacing w:after="20"/>
            </w:pPr>
            <w:r>
              <w:rPr>
                <w:sz w:val="16"/>
              </w:rPr>
              <w:t>Full customer card data / CVV</w:t>
            </w:r>
          </w:p>
        </w:tc>
        <w:tc>
          <w:tcPr>
            <w:tcW w:type="dxa" w:w="2498"/>
            <w:vAlign w:val="center"/>
          </w:tcPr>
          <w:p>
            <w:pPr>
              <w:spacing w:after="20"/>
            </w:pPr>
            <w:r>
              <w:rPr>
                <w:sz w:val="16"/>
              </w:rPr>
              <w:t>Never</w:t>
            </w:r>
          </w:p>
        </w:tc>
        <w:tc>
          <w:tcPr>
            <w:tcW w:type="dxa" w:w="2498"/>
            <w:vAlign w:val="center"/>
          </w:tcPr>
          <w:p>
            <w:pPr>
              <w:spacing w:after="20"/>
            </w:pPr>
            <w:r>
              <w:rPr>
                <w:sz w:val="16"/>
              </w:rPr>
              <w:t>Never</w:t>
            </w:r>
          </w:p>
        </w:tc>
        <w:tc>
          <w:tcPr>
            <w:tcW w:type="dxa" w:w="2498"/>
            <w:vAlign w:val="center"/>
          </w:tcPr>
          <w:p>
            <w:pPr>
              <w:spacing w:after="20"/>
            </w:pPr>
            <w:r>
              <w:rPr>
                <w:sz w:val="16"/>
              </w:rPr>
              <w:t>Never</w:t>
            </w:r>
          </w:p>
        </w:tc>
      </w:tr>
    </w:tbl>
    <w:p/>
    <w:p>
      <w:pPr>
        <w:pStyle w:val="Heading2"/>
        <w:keepNext/>
        <w:spacing w:before="240"/>
      </w:pPr>
      <w:r>
        <w:t>53. Vendor onboarding and acquisition mechanics</w:t>
      </w:r>
    </w:p>
    <w:p>
      <w:pPr>
        <w:spacing w:after="100"/>
      </w:pPr>
      <w:r>
        <w:t>Use free basic listing plus commission on completed eligible bookings. Supplier sign-up flow: organization name -&gt; legal status and tax/GST information -&gt; verified contact and bank beneficiary via payment provider -&gt; payout model -&gt; cancellation policy -&gt; safety/operator credentials -&gt; signed commercial agreement -&gt; one test package and departure -&gt; manual quality review -&gt; publish. Initial agents need no website: dashboard and email/SMS notifications suffice.</w:t>
      </w:r>
    </w:p>
    <w:p>
      <w:pPr>
        <w:spacing w:after="100"/>
      </w:pPr>
      <w:r>
        <w:t>Supplier deal template captures: sale model, who is legal seller, tax-inclusive/exclusive net rate, price floor/ceiling, dates, max allotment, hold and confirmation SLAs, settlement milestones, refunds and cancellation attribution, handling offline sales, performance penalties, support hours, traveler-data sharing and privacy, and whether a platform fee may be charged.</w:t>
      </w:r>
    </w:p>
    <w:p>
      <w:pPr>
        <w:spacing w:before="100" w:after="80"/>
      </w:pPr>
      <w:r>
        <w:rPr>
          <w:b/>
          <w:color w:val="15394F"/>
        </w:rPr>
        <w:t>First agent acquisition process (solo-founder viable)</w:t>
      </w:r>
    </w:p>
    <w:p>
      <w:pPr>
        <w:pStyle w:val="ListBullet"/>
        <w:spacing w:after="40"/>
      </w:pPr>
      <w:r>
        <w:t>Find 20-30 regional operators with clear packages and verifiable track records.</w:t>
      </w:r>
    </w:p>
    <w:p>
      <w:pPr>
        <w:pStyle w:val="ListBullet"/>
        <w:spacing w:after="40"/>
      </w:pPr>
      <w:r>
        <w:t>Interview 10 operators on retail pricing, direct/offline sales volume, availability update method and payment requirements.</w:t>
      </w:r>
    </w:p>
    <w:p>
      <w:pPr>
        <w:pStyle w:val="ListBullet"/>
        <w:spacing w:after="40"/>
      </w:pPr>
      <w:r>
        <w:t>Sign 3-5 pilot partners for 1-3 packages each; verify taxes, photos and policies; perform a test booking.</w:t>
      </w:r>
    </w:p>
    <w:p>
      <w:pPr>
        <w:pStyle w:val="ListBullet"/>
        <w:spacing w:after="40"/>
      </w:pPr>
      <w:r>
        <w:t>Give operators a simple weekly availability calendar and one-click booking acceptance before building complex integrations.</w:t>
      </w:r>
    </w:p>
    <w:p>
      <w:pPr>
        <w:pStyle w:val="ListBullet"/>
        <w:spacing w:after="40"/>
      </w:pPr>
      <w:r>
        <w:t>Measure acceptance time, fulfillment accuracy, cancellations, refund losses and repeat customer rate before adding more agents.</w:t>
      </w:r>
    </w:p>
    <w:p>
      <w:pPr>
        <w:pStyle w:val="Heading2"/>
        <w:keepNext/>
        <w:spacing w:before="240"/>
      </w:pPr>
      <w:r>
        <w:t>54. Example A: TripRaft reseller financial ledger — tax exclusive</w:t>
      </w:r>
    </w:p>
    <w:p>
      <w:pPr>
        <w:spacing w:after="100"/>
      </w:pPr>
      <w:r>
        <w:t>Illustrative only: agent invoices TripRaft ₹13,500 + 5% GST = ₹14,175; TripRaft invoices customer ₹15,500 + 5% GST = ₹16,275. This example assumes the supply qualifies for the tour-operator 5% conditions AND TripRaft may take input tax credit for the qualifying tour service purchased from another tour operator. An accountant must validate classification, invoice chain and eligible credit [S1].</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Line item</w:t>
            </w:r>
          </w:p>
        </w:tc>
        <w:tc>
          <w:tcPr>
            <w:tcW w:type="dxa" w:w="3331"/>
            <w:shd w:fill="164A60"/>
          </w:tcPr>
          <w:p>
            <w:r>
              <w:rPr>
                <w:b/>
                <w:color w:val="FFFFFF"/>
                <w:sz w:val="16"/>
              </w:rPr>
              <w:t>Amount</w:t>
            </w:r>
          </w:p>
        </w:tc>
        <w:tc>
          <w:tcPr>
            <w:tcW w:type="dxa" w:w="3331"/>
            <w:shd w:fill="164A60"/>
          </w:tcPr>
          <w:p>
            <w:r>
              <w:rPr>
                <w:b/>
                <w:color w:val="FFFFFF"/>
                <w:sz w:val="16"/>
              </w:rPr>
              <w:t>Who accounts for it</w:t>
            </w:r>
          </w:p>
        </w:tc>
      </w:tr>
      <w:tr>
        <w:tc>
          <w:tcPr>
            <w:tcW w:type="dxa" w:w="3331"/>
            <w:vAlign w:val="center"/>
          </w:tcPr>
          <w:p>
            <w:pPr>
              <w:spacing w:after="20"/>
            </w:pPr>
            <w:r>
              <w:rPr>
                <w:sz w:val="16"/>
              </w:rPr>
              <w:t>Agent base invoice</w:t>
            </w:r>
          </w:p>
        </w:tc>
        <w:tc>
          <w:tcPr>
            <w:tcW w:type="dxa" w:w="3331"/>
            <w:vAlign w:val="center"/>
          </w:tcPr>
          <w:p>
            <w:pPr>
              <w:spacing w:after="20"/>
            </w:pPr>
            <w:r>
              <w:rPr>
                <w:sz w:val="16"/>
              </w:rPr>
              <w:t>₹13,500</w:t>
            </w:r>
          </w:p>
        </w:tc>
        <w:tc>
          <w:tcPr>
            <w:tcW w:type="dxa" w:w="3331"/>
            <w:vAlign w:val="center"/>
          </w:tcPr>
          <w:p>
            <w:pPr>
              <w:spacing w:after="20"/>
            </w:pPr>
            <w:r>
              <w:rPr>
                <w:sz w:val="16"/>
              </w:rPr>
              <w:t>Tour agent sale to TripRaft</w:t>
            </w:r>
          </w:p>
        </w:tc>
      </w:tr>
      <w:tr>
        <w:tc>
          <w:tcPr>
            <w:tcW w:type="dxa" w:w="3331"/>
            <w:vAlign w:val="center"/>
            <w:shd w:fill="F0F5F7"/>
          </w:tcPr>
          <w:p>
            <w:pPr>
              <w:spacing w:after="20"/>
            </w:pPr>
            <w:r>
              <w:rPr>
                <w:sz w:val="16"/>
              </w:rPr>
              <w:t>Agent invoice GST, hypothetical 5%</w:t>
            </w:r>
          </w:p>
        </w:tc>
        <w:tc>
          <w:tcPr>
            <w:tcW w:type="dxa" w:w="3331"/>
            <w:vAlign w:val="center"/>
            <w:shd w:fill="F0F5F7"/>
          </w:tcPr>
          <w:p>
            <w:pPr>
              <w:spacing w:after="20"/>
            </w:pPr>
            <w:r>
              <w:rPr>
                <w:sz w:val="16"/>
              </w:rPr>
              <w:t>₹675</w:t>
            </w:r>
          </w:p>
        </w:tc>
        <w:tc>
          <w:tcPr>
            <w:tcW w:type="dxa" w:w="3331"/>
            <w:vAlign w:val="center"/>
            <w:shd w:fill="F0F5F7"/>
          </w:tcPr>
          <w:p>
            <w:pPr>
              <w:spacing w:after="20"/>
            </w:pPr>
            <w:r>
              <w:rPr>
                <w:sz w:val="16"/>
              </w:rPr>
              <w:t>Agent accounts for its output GST</w:t>
            </w:r>
          </w:p>
        </w:tc>
      </w:tr>
      <w:tr>
        <w:tc>
          <w:tcPr>
            <w:tcW w:type="dxa" w:w="3331"/>
            <w:vAlign w:val="center"/>
          </w:tcPr>
          <w:p>
            <w:pPr>
              <w:spacing w:after="20"/>
            </w:pPr>
            <w:r>
              <w:rPr>
                <w:sz w:val="16"/>
              </w:rPr>
              <w:t>Cash paid to agent</w:t>
            </w:r>
          </w:p>
        </w:tc>
        <w:tc>
          <w:tcPr>
            <w:tcW w:type="dxa" w:w="3331"/>
            <w:vAlign w:val="center"/>
          </w:tcPr>
          <w:p>
            <w:pPr>
              <w:spacing w:after="20"/>
            </w:pPr>
            <w:r>
              <w:rPr>
                <w:sz w:val="16"/>
              </w:rPr>
              <w:t>₹14,175</w:t>
            </w:r>
          </w:p>
        </w:tc>
        <w:tc>
          <w:tcPr>
            <w:tcW w:type="dxa" w:w="3331"/>
            <w:vAlign w:val="center"/>
          </w:tcPr>
          <w:p>
            <w:pPr>
              <w:spacing w:after="20"/>
            </w:pPr>
            <w:r>
              <w:rPr>
                <w:sz w:val="16"/>
              </w:rPr>
              <w:t>TripRaft supplier payment</w:t>
            </w:r>
          </w:p>
        </w:tc>
      </w:tr>
      <w:tr>
        <w:tc>
          <w:tcPr>
            <w:tcW w:type="dxa" w:w="3331"/>
            <w:vAlign w:val="center"/>
            <w:shd w:fill="F0F5F7"/>
          </w:tcPr>
          <w:p>
            <w:pPr>
              <w:spacing w:after="20"/>
            </w:pPr>
            <w:r>
              <w:rPr>
                <w:sz w:val="16"/>
              </w:rPr>
              <w:t>TripRaft customer base selling price</w:t>
            </w:r>
          </w:p>
        </w:tc>
        <w:tc>
          <w:tcPr>
            <w:tcW w:type="dxa" w:w="3331"/>
            <w:vAlign w:val="center"/>
            <w:shd w:fill="F0F5F7"/>
          </w:tcPr>
          <w:p>
            <w:pPr>
              <w:spacing w:after="20"/>
            </w:pPr>
            <w:r>
              <w:rPr>
                <w:sz w:val="16"/>
              </w:rPr>
              <w:t>₹15,500</w:t>
            </w:r>
          </w:p>
        </w:tc>
        <w:tc>
          <w:tcPr>
            <w:tcW w:type="dxa" w:w="3331"/>
            <w:vAlign w:val="center"/>
            <w:shd w:fill="F0F5F7"/>
          </w:tcPr>
          <w:p>
            <w:pPr>
              <w:spacing w:after="20"/>
            </w:pPr>
            <w:r>
              <w:rPr>
                <w:sz w:val="16"/>
              </w:rPr>
              <w:t>TripRaft sales revenue before GST</w:t>
            </w:r>
          </w:p>
        </w:tc>
      </w:tr>
      <w:tr>
        <w:tc>
          <w:tcPr>
            <w:tcW w:type="dxa" w:w="3331"/>
            <w:vAlign w:val="center"/>
          </w:tcPr>
          <w:p>
            <w:pPr>
              <w:spacing w:after="20"/>
            </w:pPr>
            <w:r>
              <w:rPr>
                <w:sz w:val="16"/>
              </w:rPr>
              <w:t>TripRaft customer GST, hypothetical 5%</w:t>
            </w:r>
          </w:p>
        </w:tc>
        <w:tc>
          <w:tcPr>
            <w:tcW w:type="dxa" w:w="3331"/>
            <w:vAlign w:val="center"/>
          </w:tcPr>
          <w:p>
            <w:pPr>
              <w:spacing w:after="20"/>
            </w:pPr>
            <w:r>
              <w:rPr>
                <w:sz w:val="16"/>
              </w:rPr>
              <w:t>₹775</w:t>
            </w:r>
          </w:p>
        </w:tc>
        <w:tc>
          <w:tcPr>
            <w:tcW w:type="dxa" w:w="3331"/>
            <w:vAlign w:val="center"/>
          </w:tcPr>
          <w:p>
            <w:pPr>
              <w:spacing w:after="20"/>
            </w:pPr>
            <w:r>
              <w:rPr>
                <w:sz w:val="16"/>
              </w:rPr>
              <w:t>TripRaft output GST</w:t>
            </w:r>
          </w:p>
        </w:tc>
      </w:tr>
      <w:tr>
        <w:tc>
          <w:tcPr>
            <w:tcW w:type="dxa" w:w="3331"/>
            <w:vAlign w:val="center"/>
            <w:shd w:fill="F0F5F7"/>
          </w:tcPr>
          <w:p>
            <w:pPr>
              <w:spacing w:after="20"/>
            </w:pPr>
            <w:r>
              <w:rPr>
                <w:sz w:val="16"/>
              </w:rPr>
              <w:t>Customer payment</w:t>
            </w:r>
          </w:p>
        </w:tc>
        <w:tc>
          <w:tcPr>
            <w:tcW w:type="dxa" w:w="3331"/>
            <w:vAlign w:val="center"/>
            <w:shd w:fill="F0F5F7"/>
          </w:tcPr>
          <w:p>
            <w:pPr>
              <w:spacing w:after="20"/>
            </w:pPr>
            <w:r>
              <w:rPr>
                <w:sz w:val="16"/>
              </w:rPr>
              <w:t>₹16,275</w:t>
            </w:r>
          </w:p>
        </w:tc>
        <w:tc>
          <w:tcPr>
            <w:tcW w:type="dxa" w:w="3331"/>
            <w:vAlign w:val="center"/>
            <w:shd w:fill="F0F5F7"/>
          </w:tcPr>
          <w:p>
            <w:pPr>
              <w:spacing w:after="20"/>
            </w:pPr>
            <w:r>
              <w:rPr>
                <w:sz w:val="16"/>
              </w:rPr>
              <w:t>TripRaft checkout</w:t>
            </w:r>
          </w:p>
        </w:tc>
      </w:tr>
      <w:tr>
        <w:tc>
          <w:tcPr>
            <w:tcW w:type="dxa" w:w="3331"/>
            <w:vAlign w:val="center"/>
          </w:tcPr>
          <w:p>
            <w:pPr>
              <w:spacing w:after="20"/>
            </w:pPr>
            <w:r>
              <w:rPr>
                <w:sz w:val="16"/>
              </w:rPr>
              <w:t>Input GST credit assumed eligible</w:t>
            </w:r>
          </w:p>
        </w:tc>
        <w:tc>
          <w:tcPr>
            <w:tcW w:type="dxa" w:w="3331"/>
            <w:vAlign w:val="center"/>
          </w:tcPr>
          <w:p>
            <w:pPr>
              <w:spacing w:after="20"/>
            </w:pPr>
            <w:r>
              <w:rPr>
                <w:sz w:val="16"/>
              </w:rPr>
              <w:t>₹675</w:t>
            </w:r>
          </w:p>
        </w:tc>
        <w:tc>
          <w:tcPr>
            <w:tcW w:type="dxa" w:w="3331"/>
            <w:vAlign w:val="center"/>
          </w:tcPr>
          <w:p>
            <w:pPr>
              <w:spacing w:after="20"/>
            </w:pPr>
            <w:r>
              <w:rPr>
                <w:sz w:val="16"/>
              </w:rPr>
              <w:t>TripRaft tax ledger credit, conditional</w:t>
            </w:r>
          </w:p>
        </w:tc>
      </w:tr>
      <w:tr>
        <w:tc>
          <w:tcPr>
            <w:tcW w:type="dxa" w:w="3331"/>
            <w:vAlign w:val="center"/>
            <w:shd w:fill="F0F5F7"/>
          </w:tcPr>
          <w:p>
            <w:pPr>
              <w:spacing w:after="20"/>
            </w:pPr>
            <w:r>
              <w:rPr>
                <w:sz w:val="16"/>
              </w:rPr>
              <w:t>Net tour GST remittance assumption</w:t>
            </w:r>
          </w:p>
        </w:tc>
        <w:tc>
          <w:tcPr>
            <w:tcW w:type="dxa" w:w="3331"/>
            <w:vAlign w:val="center"/>
            <w:shd w:fill="F0F5F7"/>
          </w:tcPr>
          <w:p>
            <w:pPr>
              <w:spacing w:after="20"/>
            </w:pPr>
            <w:r>
              <w:rPr>
                <w:sz w:val="16"/>
              </w:rPr>
              <w:t>₹100</w:t>
            </w:r>
          </w:p>
        </w:tc>
        <w:tc>
          <w:tcPr>
            <w:tcW w:type="dxa" w:w="3331"/>
            <w:vAlign w:val="center"/>
            <w:shd w:fill="F0F5F7"/>
          </w:tcPr>
          <w:p>
            <w:pPr>
              <w:spacing w:after="20"/>
            </w:pPr>
            <w:r>
              <w:rPr>
                <w:sz w:val="16"/>
              </w:rPr>
              <w:t>₹775 minus valid ₹675 credit</w:t>
            </w:r>
          </w:p>
        </w:tc>
      </w:tr>
      <w:tr>
        <w:tc>
          <w:tcPr>
            <w:tcW w:type="dxa" w:w="3331"/>
            <w:vAlign w:val="center"/>
          </w:tcPr>
          <w:p>
            <w:pPr>
              <w:spacing w:after="20"/>
            </w:pPr>
            <w:r>
              <w:rPr>
                <w:sz w:val="16"/>
              </w:rPr>
              <w:t>Reseller margin after GST accounting</w:t>
            </w:r>
          </w:p>
        </w:tc>
        <w:tc>
          <w:tcPr>
            <w:tcW w:type="dxa" w:w="3331"/>
            <w:vAlign w:val="center"/>
          </w:tcPr>
          <w:p>
            <w:pPr>
              <w:spacing w:after="20"/>
            </w:pPr>
            <w:r>
              <w:rPr>
                <w:sz w:val="16"/>
              </w:rPr>
              <w:t>₹2,000</w:t>
            </w:r>
          </w:p>
        </w:tc>
        <w:tc>
          <w:tcPr>
            <w:tcW w:type="dxa" w:w="3331"/>
            <w:vAlign w:val="center"/>
          </w:tcPr>
          <w:p>
            <w:pPr>
              <w:spacing w:after="20"/>
            </w:pPr>
            <w:r>
              <w:rPr>
                <w:sz w:val="16"/>
              </w:rPr>
              <w:t>Before gateway, support, marketing, income tax</w:t>
            </w:r>
          </w:p>
        </w:tc>
      </w:tr>
    </w:tbl>
    <w:p/>
    <w:p>
      <w:pPr>
        <w:spacing w:after="100"/>
      </w:pPr>
      <w:r>
        <w:t>Cash bridge when input credit eligible: ₹16,275 received - ₹14,175 paid supplier - ₹100 net GST = ₹2,000 before expenses. WITHOUT the assumed input credit, illustrative cash contribution drops to ₹1,325. Do not post supplier GST as automatically recoverable.</w:t>
      </w:r>
    </w:p>
    <w:p>
      <w:pPr>
        <w:pStyle w:val="Heading2"/>
        <w:keepNext/>
        <w:spacing w:before="240"/>
      </w:pPr>
      <w:r>
        <w:t>55. Example B: agent-led marketplace financial ledger — tax exclusive</w:t>
      </w:r>
    </w:p>
    <w:p>
      <w:pPr>
        <w:spacing w:after="100"/>
      </w:pPr>
      <w:r>
        <w:t>Now the AGENT, not TripRaft, sells a ₹15,500 pre-GST tour to the traveler. Customer pays ₹16,275 including assumed 5% tour GST. Assume a negotiated TripRaft commission of ₹2,000 INCLUDING 18% GST (service base ₹1,694.92 + commission GST ₹305.08). This commission is a separate B2B service to the agent, not a second 18% levy on the tour checkout.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Line item</w:t>
            </w:r>
          </w:p>
        </w:tc>
        <w:tc>
          <w:tcPr>
            <w:tcW w:type="dxa" w:w="3331"/>
            <w:shd w:fill="164A60"/>
          </w:tcPr>
          <w:p>
            <w:r>
              <w:rPr>
                <w:b/>
                <w:color w:val="FFFFFF"/>
                <w:sz w:val="16"/>
              </w:rPr>
              <w:t>Amount</w:t>
            </w:r>
          </w:p>
        </w:tc>
        <w:tc>
          <w:tcPr>
            <w:tcW w:type="dxa" w:w="3331"/>
            <w:shd w:fill="164A60"/>
          </w:tcPr>
          <w:p>
            <w:r>
              <w:rPr>
                <w:b/>
                <w:color w:val="FFFFFF"/>
                <w:sz w:val="16"/>
              </w:rPr>
              <w:t>Who accounts for it</w:t>
            </w:r>
          </w:p>
        </w:tc>
      </w:tr>
      <w:tr>
        <w:tc>
          <w:tcPr>
            <w:tcW w:type="dxa" w:w="3331"/>
            <w:vAlign w:val="center"/>
          </w:tcPr>
          <w:p>
            <w:pPr>
              <w:spacing w:after="20"/>
            </w:pPr>
            <w:r>
              <w:rPr>
                <w:sz w:val="16"/>
              </w:rPr>
              <w:t>Operator customer base tour invoice</w:t>
            </w:r>
          </w:p>
        </w:tc>
        <w:tc>
          <w:tcPr>
            <w:tcW w:type="dxa" w:w="3331"/>
            <w:vAlign w:val="center"/>
          </w:tcPr>
          <w:p>
            <w:pPr>
              <w:spacing w:after="20"/>
            </w:pPr>
            <w:r>
              <w:rPr>
                <w:sz w:val="16"/>
              </w:rPr>
              <w:t>₹15,500</w:t>
            </w:r>
          </w:p>
        </w:tc>
        <w:tc>
          <w:tcPr>
            <w:tcW w:type="dxa" w:w="3331"/>
            <w:vAlign w:val="center"/>
          </w:tcPr>
          <w:p>
            <w:pPr>
              <w:spacing w:after="20"/>
            </w:pPr>
            <w:r>
              <w:rPr>
                <w:sz w:val="16"/>
              </w:rPr>
              <w:t>Tour agent</w:t>
            </w:r>
          </w:p>
        </w:tc>
      </w:tr>
      <w:tr>
        <w:tc>
          <w:tcPr>
            <w:tcW w:type="dxa" w:w="3331"/>
            <w:vAlign w:val="center"/>
            <w:shd w:fill="F0F5F7"/>
          </w:tcPr>
          <w:p>
            <w:pPr>
              <w:spacing w:after="20"/>
            </w:pPr>
            <w:r>
              <w:rPr>
                <w:sz w:val="16"/>
              </w:rPr>
              <w:t>Tour GST (illustrative 5%)</w:t>
            </w:r>
          </w:p>
        </w:tc>
        <w:tc>
          <w:tcPr>
            <w:tcW w:type="dxa" w:w="3331"/>
            <w:vAlign w:val="center"/>
            <w:shd w:fill="F0F5F7"/>
          </w:tcPr>
          <w:p>
            <w:pPr>
              <w:spacing w:after="20"/>
            </w:pPr>
            <w:r>
              <w:rPr>
                <w:sz w:val="16"/>
              </w:rPr>
              <w:t>₹775</w:t>
            </w:r>
          </w:p>
        </w:tc>
        <w:tc>
          <w:tcPr>
            <w:tcW w:type="dxa" w:w="3331"/>
            <w:vAlign w:val="center"/>
            <w:shd w:fill="F0F5F7"/>
          </w:tcPr>
          <w:p>
            <w:pPr>
              <w:spacing w:after="20"/>
            </w:pPr>
            <w:r>
              <w:rPr>
                <w:sz w:val="16"/>
              </w:rPr>
              <w:t>Tour agent</w:t>
            </w:r>
          </w:p>
        </w:tc>
      </w:tr>
      <w:tr>
        <w:tc>
          <w:tcPr>
            <w:tcW w:type="dxa" w:w="3331"/>
            <w:vAlign w:val="center"/>
          </w:tcPr>
          <w:p>
            <w:pPr>
              <w:spacing w:after="20"/>
            </w:pPr>
            <w:r>
              <w:rPr>
                <w:sz w:val="16"/>
              </w:rPr>
              <w:t>Customer pays TripRaft checkout</w:t>
            </w:r>
          </w:p>
        </w:tc>
        <w:tc>
          <w:tcPr>
            <w:tcW w:type="dxa" w:w="3331"/>
            <w:vAlign w:val="center"/>
          </w:tcPr>
          <w:p>
            <w:pPr>
              <w:spacing w:after="20"/>
            </w:pPr>
            <w:r>
              <w:rPr>
                <w:sz w:val="16"/>
              </w:rPr>
              <w:t>₹16,275</w:t>
            </w:r>
          </w:p>
        </w:tc>
        <w:tc>
          <w:tcPr>
            <w:tcW w:type="dxa" w:w="3331"/>
            <w:vAlign w:val="center"/>
          </w:tcPr>
          <w:p>
            <w:pPr>
              <w:spacing w:after="20"/>
            </w:pPr>
            <w:r>
              <w:rPr>
                <w:sz w:val="16"/>
              </w:rPr>
              <w:t>Provider processes under approved marketplace model</w:t>
            </w:r>
          </w:p>
        </w:tc>
      </w:tr>
      <w:tr>
        <w:tc>
          <w:tcPr>
            <w:tcW w:type="dxa" w:w="3331"/>
            <w:vAlign w:val="center"/>
            <w:shd w:fill="F0F5F7"/>
          </w:tcPr>
          <w:p>
            <w:pPr>
              <w:spacing w:after="20"/>
            </w:pPr>
            <w:r>
              <w:rPr>
                <w:sz w:val="16"/>
              </w:rPr>
              <w:t>TripRaft commission INCLUDING GST</w:t>
            </w:r>
          </w:p>
        </w:tc>
        <w:tc>
          <w:tcPr>
            <w:tcW w:type="dxa" w:w="3331"/>
            <w:vAlign w:val="center"/>
            <w:shd w:fill="F0F5F7"/>
          </w:tcPr>
          <w:p>
            <w:pPr>
              <w:spacing w:after="20"/>
            </w:pPr>
            <w:r>
              <w:rPr>
                <w:sz w:val="16"/>
              </w:rPr>
              <w:t>₹2,000</w:t>
            </w:r>
          </w:p>
        </w:tc>
        <w:tc>
          <w:tcPr>
            <w:tcW w:type="dxa" w:w="3331"/>
            <w:vAlign w:val="center"/>
            <w:shd w:fill="F0F5F7"/>
          </w:tcPr>
          <w:p>
            <w:pPr>
              <w:spacing w:after="20"/>
            </w:pPr>
            <w:r>
              <w:rPr>
                <w:sz w:val="16"/>
              </w:rPr>
              <w:t>TripRaft invoices supplier</w:t>
            </w:r>
          </w:p>
        </w:tc>
      </w:tr>
      <w:tr>
        <w:tc>
          <w:tcPr>
            <w:tcW w:type="dxa" w:w="3331"/>
            <w:vAlign w:val="center"/>
          </w:tcPr>
          <w:p>
            <w:pPr>
              <w:spacing w:after="20"/>
            </w:pPr>
            <w:r>
              <w:rPr>
                <w:sz w:val="16"/>
              </w:rPr>
              <w:t>Agent settlement before withholding adjustments</w:t>
            </w:r>
          </w:p>
        </w:tc>
        <w:tc>
          <w:tcPr>
            <w:tcW w:type="dxa" w:w="3331"/>
            <w:vAlign w:val="center"/>
          </w:tcPr>
          <w:p>
            <w:pPr>
              <w:spacing w:after="20"/>
            </w:pPr>
            <w:r>
              <w:rPr>
                <w:sz w:val="16"/>
              </w:rPr>
              <w:t>₹14,275</w:t>
            </w:r>
          </w:p>
        </w:tc>
        <w:tc>
          <w:tcPr>
            <w:tcW w:type="dxa" w:w="3331"/>
            <w:vAlign w:val="center"/>
          </w:tcPr>
          <w:p>
            <w:pPr>
              <w:spacing w:after="20"/>
            </w:pPr>
            <w:r>
              <w:rPr>
                <w:sz w:val="16"/>
              </w:rPr>
              <w:t>₹16,275 minus ₹2,000 commission</w:t>
            </w:r>
          </w:p>
        </w:tc>
      </w:tr>
      <w:tr>
        <w:tc>
          <w:tcPr>
            <w:tcW w:type="dxa" w:w="3331"/>
            <w:vAlign w:val="center"/>
            <w:shd w:fill="F0F5F7"/>
          </w:tcPr>
          <w:p>
            <w:pPr>
              <w:spacing w:after="20"/>
            </w:pPr>
            <w:r>
              <w:rPr>
                <w:sz w:val="16"/>
              </w:rPr>
              <w:t>Agent GST on tour invoice</w:t>
            </w:r>
          </w:p>
        </w:tc>
        <w:tc>
          <w:tcPr>
            <w:tcW w:type="dxa" w:w="3331"/>
            <w:vAlign w:val="center"/>
            <w:shd w:fill="F0F5F7"/>
          </w:tcPr>
          <w:p>
            <w:pPr>
              <w:spacing w:after="20"/>
            </w:pPr>
            <w:r>
              <w:rPr>
                <w:sz w:val="16"/>
              </w:rPr>
              <w:t>₹775</w:t>
            </w:r>
          </w:p>
        </w:tc>
        <w:tc>
          <w:tcPr>
            <w:tcW w:type="dxa" w:w="3331"/>
            <w:vAlign w:val="center"/>
            <w:shd w:fill="F0F5F7"/>
          </w:tcPr>
          <w:p>
            <w:pPr>
              <w:spacing w:after="20"/>
            </w:pPr>
            <w:r>
              <w:rPr>
                <w:sz w:val="16"/>
              </w:rPr>
              <w:t>Tour agent tax liability subject to its eligible credits</w:t>
            </w:r>
          </w:p>
        </w:tc>
      </w:tr>
      <w:tr>
        <w:tc>
          <w:tcPr>
            <w:tcW w:type="dxa" w:w="3331"/>
            <w:vAlign w:val="center"/>
          </w:tcPr>
          <w:p>
            <w:pPr>
              <w:spacing w:after="20"/>
            </w:pPr>
            <w:r>
              <w:rPr>
                <w:sz w:val="16"/>
              </w:rPr>
              <w:t>Agent cash net of tour output GST</w:t>
            </w:r>
          </w:p>
        </w:tc>
        <w:tc>
          <w:tcPr>
            <w:tcW w:type="dxa" w:w="3331"/>
            <w:vAlign w:val="center"/>
          </w:tcPr>
          <w:p>
            <w:pPr>
              <w:spacing w:after="20"/>
            </w:pPr>
            <w:r>
              <w:rPr>
                <w:sz w:val="16"/>
              </w:rPr>
              <w:t>₹13,500</w:t>
            </w:r>
          </w:p>
        </w:tc>
        <w:tc>
          <w:tcPr>
            <w:tcW w:type="dxa" w:w="3331"/>
            <w:vAlign w:val="center"/>
          </w:tcPr>
          <w:p>
            <w:pPr>
              <w:spacing w:after="20"/>
            </w:pPr>
            <w:r>
              <w:rPr>
                <w:sz w:val="16"/>
              </w:rPr>
              <w:t>Before its own cost; not necessarily its accounting profit</w:t>
            </w:r>
          </w:p>
        </w:tc>
      </w:tr>
      <w:tr>
        <w:tc>
          <w:tcPr>
            <w:tcW w:type="dxa" w:w="3331"/>
            <w:vAlign w:val="center"/>
            <w:shd w:fill="F0F5F7"/>
          </w:tcPr>
          <w:p>
            <w:pPr>
              <w:spacing w:after="20"/>
            </w:pPr>
            <w:r>
              <w:rPr>
                <w:sz w:val="16"/>
              </w:rPr>
              <w:t>TripRaft commission GST at 18/118</w:t>
            </w:r>
          </w:p>
        </w:tc>
        <w:tc>
          <w:tcPr>
            <w:tcW w:type="dxa" w:w="3331"/>
            <w:vAlign w:val="center"/>
            <w:shd w:fill="F0F5F7"/>
          </w:tcPr>
          <w:p>
            <w:pPr>
              <w:spacing w:after="20"/>
            </w:pPr>
            <w:r>
              <w:rPr>
                <w:sz w:val="16"/>
              </w:rPr>
              <w:t>₹305.08</w:t>
            </w:r>
          </w:p>
        </w:tc>
        <w:tc>
          <w:tcPr>
            <w:tcW w:type="dxa" w:w="3331"/>
            <w:vAlign w:val="center"/>
            <w:shd w:fill="F0F5F7"/>
          </w:tcPr>
          <w:p>
            <w:pPr>
              <w:spacing w:after="20"/>
            </w:pPr>
            <w:r>
              <w:rPr>
                <w:sz w:val="16"/>
              </w:rPr>
              <w:t>TripRaft output GST on its commission</w:t>
            </w:r>
          </w:p>
        </w:tc>
      </w:tr>
      <w:tr>
        <w:tc>
          <w:tcPr>
            <w:tcW w:type="dxa" w:w="3331"/>
            <w:vAlign w:val="center"/>
          </w:tcPr>
          <w:p>
            <w:pPr>
              <w:spacing w:after="20"/>
            </w:pPr>
            <w:r>
              <w:rPr>
                <w:sz w:val="16"/>
              </w:rPr>
              <w:t>TripRaft commission revenue after GST</w:t>
            </w:r>
          </w:p>
        </w:tc>
        <w:tc>
          <w:tcPr>
            <w:tcW w:type="dxa" w:w="3331"/>
            <w:vAlign w:val="center"/>
          </w:tcPr>
          <w:p>
            <w:pPr>
              <w:spacing w:after="20"/>
            </w:pPr>
            <w:r>
              <w:rPr>
                <w:sz w:val="16"/>
              </w:rPr>
              <w:t>₹1,694.92</w:t>
            </w:r>
          </w:p>
        </w:tc>
        <w:tc>
          <w:tcPr>
            <w:tcW w:type="dxa" w:w="3331"/>
            <w:vAlign w:val="center"/>
          </w:tcPr>
          <w:p>
            <w:pPr>
              <w:spacing w:after="20"/>
            </w:pPr>
            <w:r>
              <w:rPr>
                <w:sz w:val="16"/>
              </w:rPr>
              <w:t>Before gateway, refunds and operating costs</w:t>
            </w:r>
          </w:p>
        </w:tc>
      </w:tr>
    </w:tbl>
    <w:p/>
    <w:p>
      <w:pPr>
        <w:spacing w:after="100"/>
      </w:pPr>
      <w:r>
        <w:t>This MARKETPLACE illustration is not the same legal transaction as the reseller supplier invoice of ₹13,500 + GST. The operator invoices the traveler at the actual tour selling price. If the operator is eligible for input credits on commission, its economics may differ. TCS/TDS, if applicable, are reconciliation and tax-credit records, not fictional platform revenue.</w:t>
      </w:r>
    </w:p>
    <w:tbl>
      <w:tblPr>
        <w:tblW w:type="auto" w:w="0"/>
        <w:tblLook w:firstColumn="1" w:firstRow="1" w:lastColumn="0" w:lastRow="0" w:noHBand="0" w:noVBand="1" w:val="04A0"/>
      </w:tblPr>
      <w:tblGrid>
        <w:gridCol w:w="9994"/>
      </w:tblGrid>
      <w:tr>
        <w:tc>
          <w:tcPr>
            <w:tcW w:type="dxa" w:w="9994"/>
            <w:shd w:fill="EDF6F4"/>
          </w:tcPr>
          <w:p>
            <w:pPr>
              <w:spacing w:after="0"/>
            </w:pPr>
            <w:r>
              <w:rPr>
                <w:b/>
                <w:color w:val="0C726D"/>
                <w:sz w:val="18"/>
              </w:rPr>
              <w:t>Never calculate marketplace package GST solely from a private ₹13,500 supplier target while the operator invoices the customer for ₹15,500. The taxable tour base follows the actual legal supply and valid invoice.</w:t>
            </w:r>
          </w:p>
        </w:tc>
      </w:tr>
    </w:tbl>
    <w:p/>
    <w:p>
      <w:pPr>
        <w:pStyle w:val="Heading2"/>
        <w:keepNext/>
        <w:spacing w:before="240"/>
      </w:pPr>
      <w:r>
        <w:t>56. What if ₹15,500 is tax-inclusive (the better price-display default)?</w:t>
      </w:r>
    </w:p>
    <w:p>
      <w:pPr>
        <w:spacing w:after="100"/>
      </w:pPr>
      <w:r>
        <w:t>A tax-inclusive ₹15,500 package at illustrative 5% tour GST contains taxable value ₹14,761.90 and tour GST ₹738.10. The customer should not see another 5% tacked on. Reseller scenario with ₹13,500+₹675 supplier invoice: ₹15,500 - ₹14,175 - (₹738.10 output GST - ₹675 allowed credit) = ₹1,261.90 before costs. Without that eligible supplier credit: ₹586.90.</w:t>
      </w:r>
    </w:p>
    <w:p>
      <w:pPr>
        <w:spacing w:after="100"/>
      </w:pPr>
      <w:r>
        <w:t>In the marketplace, if the agent must retain ₹13,500 AFTER remitting ₹738.10 output tour GST, then the maximum total gross commission available from ₹15,500 is ₹1,261.90, inclusive of commission GST. That decomposes to ₹1,069.41 commission revenue and ₹192.49 commission GST at 18/118. It does NOT give TripRaft ₹2,000 of commission. Change the advertised price or renegotiate the agent target if margins are inadequate.</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Customer offer</w:t>
            </w:r>
          </w:p>
        </w:tc>
        <w:tc>
          <w:tcPr>
            <w:tcW w:type="dxa" w:w="3331"/>
            <w:shd w:fill="164A60"/>
          </w:tcPr>
          <w:p>
            <w:r>
              <w:rPr>
                <w:b/>
                <w:color w:val="FFFFFF"/>
                <w:sz w:val="16"/>
              </w:rPr>
              <w:t>Reseller: after tour GST*</w:t>
            </w:r>
          </w:p>
        </w:tc>
        <w:tc>
          <w:tcPr>
            <w:tcW w:type="dxa" w:w="3331"/>
            <w:shd w:fill="164A60"/>
          </w:tcPr>
          <w:p>
            <w:r>
              <w:rPr>
                <w:b/>
                <w:color w:val="FFFFFF"/>
                <w:sz w:val="16"/>
              </w:rPr>
              <w:t>Marketplace: after commission GST**</w:t>
            </w:r>
          </w:p>
        </w:tc>
      </w:tr>
      <w:tr>
        <w:tc>
          <w:tcPr>
            <w:tcW w:type="dxa" w:w="3331"/>
            <w:vAlign w:val="center"/>
          </w:tcPr>
          <w:p>
            <w:pPr>
              <w:spacing w:after="20"/>
            </w:pPr>
            <w:r>
              <w:rPr>
                <w:sz w:val="16"/>
              </w:rPr>
              <w:t>₹16,275 customer total (₹15,500 +5%)</w:t>
            </w:r>
          </w:p>
        </w:tc>
        <w:tc>
          <w:tcPr>
            <w:tcW w:type="dxa" w:w="3331"/>
            <w:vAlign w:val="center"/>
          </w:tcPr>
          <w:p>
            <w:pPr>
              <w:spacing w:after="20"/>
            </w:pPr>
            <w:r>
              <w:rPr>
                <w:sz w:val="16"/>
              </w:rPr>
              <w:t>₹2,000.00</w:t>
            </w:r>
          </w:p>
        </w:tc>
        <w:tc>
          <w:tcPr>
            <w:tcW w:type="dxa" w:w="3331"/>
            <w:vAlign w:val="center"/>
          </w:tcPr>
          <w:p>
            <w:pPr>
              <w:spacing w:after="20"/>
            </w:pPr>
            <w:r>
              <w:rPr>
                <w:sz w:val="16"/>
              </w:rPr>
              <w:t>₹1,694.92</w:t>
            </w:r>
          </w:p>
        </w:tc>
      </w:tr>
      <w:tr>
        <w:tc>
          <w:tcPr>
            <w:tcW w:type="dxa" w:w="3331"/>
            <w:vAlign w:val="center"/>
            <w:shd w:fill="F0F5F7"/>
          </w:tcPr>
          <w:p>
            <w:pPr>
              <w:spacing w:after="20"/>
            </w:pPr>
            <w:r>
              <w:rPr>
                <w:sz w:val="16"/>
              </w:rPr>
              <w:t>₹15,500 customer total, GST included</w:t>
            </w:r>
          </w:p>
        </w:tc>
        <w:tc>
          <w:tcPr>
            <w:tcW w:type="dxa" w:w="3331"/>
            <w:vAlign w:val="center"/>
            <w:shd w:fill="F0F5F7"/>
          </w:tcPr>
          <w:p>
            <w:pPr>
              <w:spacing w:after="20"/>
            </w:pPr>
            <w:r>
              <w:rPr>
                <w:sz w:val="16"/>
              </w:rPr>
              <w:t>₹1,261.90</w:t>
            </w:r>
          </w:p>
        </w:tc>
        <w:tc>
          <w:tcPr>
            <w:tcW w:type="dxa" w:w="3331"/>
            <w:vAlign w:val="center"/>
            <w:shd w:fill="F0F5F7"/>
          </w:tcPr>
          <w:p>
            <w:pPr>
              <w:spacing w:after="20"/>
            </w:pPr>
            <w:r>
              <w:rPr>
                <w:sz w:val="16"/>
              </w:rPr>
              <w:t>₹1,069.41</w:t>
            </w:r>
          </w:p>
        </w:tc>
      </w:tr>
    </w:tbl>
    <w:p/>
    <w:p>
      <w:pPr>
        <w:spacing w:after="100"/>
      </w:pPr>
      <w:r>
        <w:t>* Assumes eligible ₹675 input credit on the supplier invoice and supplier gross invoice ₹14,175. ** Assumes agent target ₹13,500 cash after tour output GST, with no additional customer platform fee. All numbers exclude payment processing and other costs.</w:t>
      </w:r>
    </w:p>
    <w:p>
      <w:pPr>
        <w:pStyle w:val="Heading2"/>
        <w:keepNext/>
        <w:spacing w:before="240"/>
      </w:pPr>
      <w:r>
        <w:t>57. Optional platform fee: make it transparent and legally separate</w:t>
      </w:r>
    </w:p>
    <w:p>
      <w:pPr>
        <w:spacing w:after="100"/>
      </w:pPr>
      <w:r>
        <w:t>An optional service fee is TripRaft revenue only if it corresponds to a genuine platform service. A customer-facing ₹199 fee INCLUDING illustrative 18% GST comprises ₹168.64 fee revenue and ₹30.36 GST. A ₹199 fee PLUS 18% GST yields a ₹234.82 customer charge, of which ₹35.82 is GST. State whether your fee is inclusive or exclusive; never charge GST twice.</w:t>
      </w:r>
    </w:p>
    <w:p>
      <w:pPr>
        <w:spacing w:after="100"/>
      </w:pPr>
      <w:r>
        <w:t>Marketplace example: ₹15,500 GST-inclusive agent tour + ₹199 GST-inclusive separate TripRaft service = ₹15,699 customer total. Agent tour invoice and TripRaft service invoice must be separate where required. In the reseller case, a mandatory booking fee may be part of the underlying composite tour supply rather than independently taxable at 18%; do not decide tax by naming the line item. A CA must review facts, place of supply and invoice structure.</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4A60"/>
          </w:tcPr>
          <w:p>
            <w:r>
              <w:rPr>
                <w:b/>
                <w:color w:val="FFFFFF"/>
                <w:sz w:val="16"/>
              </w:rPr>
              <w:t>UI label</w:t>
            </w:r>
          </w:p>
        </w:tc>
        <w:tc>
          <w:tcPr>
            <w:tcW w:type="dxa" w:w="4997"/>
            <w:shd w:fill="164A60"/>
          </w:tcPr>
          <w:p>
            <w:r>
              <w:rPr>
                <w:b/>
                <w:color w:val="FFFFFF"/>
                <w:sz w:val="16"/>
              </w:rPr>
              <w:t>Rule</w:t>
            </w:r>
          </w:p>
        </w:tc>
      </w:tr>
      <w:tr>
        <w:tc>
          <w:tcPr>
            <w:tcW w:type="dxa" w:w="4997"/>
            <w:vAlign w:val="center"/>
          </w:tcPr>
          <w:p>
            <w:pPr>
              <w:spacing w:after="20"/>
            </w:pPr>
            <w:r>
              <w:rPr>
                <w:sz w:val="16"/>
              </w:rPr>
              <w:t>Package total (incl. applicable taxes)</w:t>
            </w:r>
          </w:p>
        </w:tc>
        <w:tc>
          <w:tcPr>
            <w:tcW w:type="dxa" w:w="4997"/>
            <w:vAlign w:val="center"/>
          </w:tcPr>
          <w:p>
            <w:pPr>
              <w:spacing w:after="20"/>
            </w:pPr>
            <w:r>
              <w:rPr>
                <w:sz w:val="16"/>
              </w:rPr>
              <w:t>Use a price a buyer can genuinely book</w:t>
            </w:r>
          </w:p>
        </w:tc>
      </w:tr>
      <w:tr>
        <w:tc>
          <w:tcPr>
            <w:tcW w:type="dxa" w:w="4997"/>
            <w:vAlign w:val="center"/>
            <w:shd w:fill="F0F5F7"/>
          </w:tcPr>
          <w:p>
            <w:pPr>
              <w:spacing w:after="20"/>
            </w:pPr>
            <w:r>
              <w:rPr>
                <w:sz w:val="16"/>
              </w:rPr>
              <w:t>TripRaft service fee (if any)</w:t>
            </w:r>
          </w:p>
        </w:tc>
        <w:tc>
          <w:tcPr>
            <w:tcW w:type="dxa" w:w="4997"/>
            <w:vAlign w:val="center"/>
            <w:shd w:fill="F0F5F7"/>
          </w:tcPr>
          <w:p>
            <w:pPr>
              <w:spacing w:after="20"/>
            </w:pPr>
            <w:r>
              <w:rPr>
                <w:sz w:val="16"/>
              </w:rPr>
              <w:t>Disclose before checkout, not after payment</w:t>
            </w:r>
          </w:p>
        </w:tc>
      </w:tr>
      <w:tr>
        <w:tc>
          <w:tcPr>
            <w:tcW w:type="dxa" w:w="4997"/>
            <w:vAlign w:val="center"/>
          </w:tcPr>
          <w:p>
            <w:pPr>
              <w:spacing w:after="20"/>
            </w:pPr>
            <w:r>
              <w:rPr>
                <w:sz w:val="16"/>
              </w:rPr>
              <w:t>GST included in platform fee</w:t>
            </w:r>
          </w:p>
        </w:tc>
        <w:tc>
          <w:tcPr>
            <w:tcW w:type="dxa" w:w="4997"/>
            <w:vAlign w:val="center"/>
          </w:tcPr>
          <w:p>
            <w:pPr>
              <w:spacing w:after="20"/>
            </w:pPr>
            <w:r>
              <w:rPr>
                <w:sz w:val="16"/>
              </w:rPr>
              <w:t>Show breakdown internally and/or invoice</w:t>
            </w:r>
          </w:p>
        </w:tc>
      </w:tr>
      <w:tr>
        <w:tc>
          <w:tcPr>
            <w:tcW w:type="dxa" w:w="4997"/>
            <w:vAlign w:val="center"/>
            <w:shd w:fill="F0F5F7"/>
          </w:tcPr>
          <w:p>
            <w:pPr>
              <w:spacing w:after="20"/>
            </w:pPr>
            <w:r>
              <w:rPr>
                <w:sz w:val="16"/>
              </w:rPr>
              <w:t>Discount</w:t>
            </w:r>
          </w:p>
        </w:tc>
        <w:tc>
          <w:tcPr>
            <w:tcW w:type="dxa" w:w="4997"/>
            <w:vAlign w:val="center"/>
            <w:shd w:fill="F0F5F7"/>
          </w:tcPr>
          <w:p>
            <w:pPr>
              <w:spacing w:after="20"/>
            </w:pPr>
            <w:r>
              <w:rPr>
                <w:sz w:val="16"/>
              </w:rPr>
              <w:t>Use legitimate reference price and funding source</w:t>
            </w:r>
          </w:p>
        </w:tc>
      </w:tr>
      <w:tr>
        <w:tc>
          <w:tcPr>
            <w:tcW w:type="dxa" w:w="4997"/>
            <w:vAlign w:val="center"/>
          </w:tcPr>
          <w:p>
            <w:pPr>
              <w:spacing w:after="20"/>
            </w:pPr>
            <w:r>
              <w:rPr>
                <w:sz w:val="16"/>
              </w:rPr>
              <w:t>Final payable</w:t>
            </w:r>
          </w:p>
        </w:tc>
        <w:tc>
          <w:tcPr>
            <w:tcW w:type="dxa" w:w="4997"/>
            <w:vAlign w:val="center"/>
          </w:tcPr>
          <w:p>
            <w:pPr>
              <w:spacing w:after="20"/>
            </w:pPr>
            <w:r>
              <w:rPr>
                <w:sz w:val="16"/>
              </w:rPr>
              <w:t>Match immutable server quote and payment order EXACTLY</w:t>
            </w:r>
          </w:p>
        </w:tc>
      </w:tr>
    </w:tbl>
    <w:p/>
    <w:p>
      <w:pPr>
        <w:pStyle w:val="Heading2"/>
        <w:keepNext/>
        <w:spacing w:before="240"/>
      </w:pPr>
      <w:r>
        <w:t>58. Pricing engine supports both modes, without fake discounts</w:t>
      </w:r>
    </w:p>
    <w:p>
      <w:pPr>
        <w:spacing w:after="100"/>
      </w:pPr>
      <w:r>
        <w:t>For RESELLER departures, TripRaft can set price using approved supplier cost, min contribution floor, allowed ceiling, occupancy, days-to-departure, confirmed booking velocity, relevant competition and seasonal demand. For MARKETPLACE departures, only supplier-authorized price bands, coupons, promotional allocations and commission structures may affect retail price. Price increases should respond to real market conditions; never penalize a user for repeated searches or fabricate scarcity.</w:t>
      </w:r>
    </w:p>
    <w:p>
      <w:pPr>
        <w:spacing w:after="0" w:line="240" w:lineRule="auto"/>
        <w:ind w:left="202" w:right="115"/>
      </w:pPr>
      <w:r>
        <w:rPr>
          <w:rFonts w:ascii="Consolas" w:hAnsi="Consolas"/>
          <w:color w:val="2A4350"/>
          <w:sz w:val="15"/>
        </w:rPr>
        <w:t>quote = PricingEngine.quote(</w:t>
      </w:r>
    </w:p>
    <w:p>
      <w:pPr>
        <w:spacing w:after="0" w:line="240" w:lineRule="auto"/>
        <w:ind w:left="202" w:right="115"/>
      </w:pPr>
      <w:r>
        <w:rPr>
          <w:rFonts w:ascii="Consolas" w:hAnsi="Consolas"/>
          <w:color w:val="2A4350"/>
          <w:sz w:val="15"/>
        </w:rPr>
        <w:t xml:space="preserve">    sale_model=offer.sale_model,</w:t>
      </w:r>
    </w:p>
    <w:p>
      <w:pPr>
        <w:spacing w:after="0" w:line="240" w:lineRule="auto"/>
        <w:ind w:left="202" w:right="115"/>
      </w:pPr>
      <w:r>
        <w:rPr>
          <w:rFonts w:ascii="Consolas" w:hAnsi="Consolas"/>
          <w:color w:val="2A4350"/>
          <w:sz w:val="15"/>
        </w:rPr>
        <w:t xml:space="preserve">    supplier_contract=contract.version,</w:t>
      </w:r>
    </w:p>
    <w:p>
      <w:pPr>
        <w:spacing w:after="0" w:line="240" w:lineRule="auto"/>
        <w:ind w:left="202" w:right="115"/>
      </w:pPr>
      <w:r>
        <w:rPr>
          <w:rFonts w:ascii="Consolas" w:hAnsi="Consolas"/>
          <w:color w:val="2A4350"/>
          <w:sz w:val="15"/>
        </w:rPr>
        <w:t xml:space="preserve">    departure=departure,</w:t>
      </w:r>
    </w:p>
    <w:p>
      <w:pPr>
        <w:spacing w:after="0" w:line="240" w:lineRule="auto"/>
        <w:ind w:left="202" w:right="115"/>
      </w:pPr>
      <w:r>
        <w:rPr>
          <w:rFonts w:ascii="Consolas" w:hAnsi="Consolas"/>
          <w:color w:val="2A4350"/>
          <w:sz w:val="15"/>
        </w:rPr>
        <w:t xml:space="preserve">    customer_eligibility=eligibility,</w:t>
      </w:r>
    </w:p>
    <w:p>
      <w:pPr>
        <w:spacing w:after="0" w:line="240" w:lineRule="auto"/>
        <w:ind w:left="202" w:right="115"/>
      </w:pPr>
      <w:r>
        <w:rPr>
          <w:rFonts w:ascii="Consolas" w:hAnsi="Consolas"/>
          <w:color w:val="2A4350"/>
          <w:sz w:val="15"/>
        </w:rPr>
        <w:t xml:space="preserve">    gst_rule=tax_classification,</w:t>
      </w:r>
    </w:p>
    <w:p>
      <w:pPr>
        <w:spacing w:after="0" w:line="240" w:lineRule="auto"/>
        <w:ind w:left="202" w:right="115"/>
      </w:pPr>
      <w:r>
        <w:rPr>
          <w:rFonts w:ascii="Consolas" w:hAnsi="Consolas"/>
          <w:color w:val="2A4350"/>
          <w:sz w:val="15"/>
        </w:rPr>
        <w:t xml:space="preserve">    discount=validated_coupon,</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assert quote.total_minor &gt;= 0</w:t>
      </w:r>
    </w:p>
    <w:p>
      <w:pPr>
        <w:spacing w:after="0" w:line="240" w:lineRule="auto"/>
        <w:ind w:left="202" w:right="115"/>
      </w:pPr>
      <w:r>
        <w:rPr>
          <w:rFonts w:ascii="Consolas" w:hAnsi="Consolas"/>
          <w:color w:val="2A4350"/>
          <w:sz w:val="15"/>
        </w:rPr>
        <w:t>assert quote.status == "PUBLISHABLE"</w:t>
      </w:r>
    </w:p>
    <w:p>
      <w:pPr>
        <w:spacing w:after="0" w:line="240" w:lineRule="auto"/>
        <w:ind w:left="202" w:right="115"/>
      </w:pPr>
      <w:r>
        <w:rPr>
          <w:rFonts w:ascii="Consolas" w:hAnsi="Consolas"/>
          <w:color w:val="2A4350"/>
          <w:sz w:val="15"/>
        </w:rPr>
        <w:t>save_immutable_snapshot(quote, expires_at=now_plus_10_minutes)</w:t>
      </w:r>
    </w:p>
    <w:p>
      <w:pPr>
        <w:spacing w:after="0" w:line="240" w:lineRule="auto"/>
        <w:ind w:left="202" w:right="115"/>
      </w:pPr>
      <w:r>
        <w:rPr>
          <w:rFonts w:ascii="Consolas" w:hAnsi="Consolas"/>
          <w:color w:val="2A4350"/>
          <w:sz w:val="15"/>
        </w:rPr>
        <w:t># A later rule or tax change never mutates an accepted quote.</w:t>
      </w:r>
    </w:p>
    <w:p/>
    <w:p>
      <w:pPr>
        <w:spacing w:after="100"/>
      </w:pPr>
      <w:r>
        <w:t>Require price/version audit logs, customer comparison-price evidence, a quote expiry timestamp, anti-bot rate limits and price changes only for new quotes. Price lock duration is policy-dependent; supplier APIs may require recheck immediately before capture. Price and seat scarcity banners must reflect real allocatable inventory.</w:t>
      </w:r>
    </w:p>
    <w:p>
      <w:pPr>
        <w:pStyle w:val="Heading2"/>
        <w:keepNext/>
        <w:spacing w:before="240"/>
      </w:pPr>
      <w:r>
        <w:t>59. Payments and legal money movement by model</w:t>
      </w:r>
    </w:p>
    <w:p>
      <w:pPr>
        <w:spacing w:after="100"/>
      </w:pPr>
      <w:r>
        <w:t>Both models can use one hosted checkout UI but must select a provider-approved funds flow. In marketplace mode: customer money is collected under an approved marketplace payment structure and the provider splits/remits the supplier share and TripRaft fee. In reseller mode: TripRaft generally collects its own sale, pays its supplier under vendor payable rules, and issues the customer sale invoice. The merchant of record, refunds and chargeback liability must be explicit.</w:t>
      </w:r>
    </w:p>
    <w:p>
      <w:pPr>
        <w:spacing w:after="100"/>
      </w:pPr>
      <w:r>
        <w:t>Razorpay Route describes linked vendor accounts, transfers, scheduled settlements, holds and webhooks [S2]. Cashfree Easy Split describes vendors, order splits and settlement reconciliation [S3]. These are not blanket approvals for US-incorporated TripRaft paying Indian agents or for holding money until travel date. Complete regulatory onboarding and validate the legal entity and geography first.</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Action</w:t>
            </w:r>
          </w:p>
        </w:tc>
        <w:tc>
          <w:tcPr>
            <w:tcW w:type="dxa" w:w="3331"/>
            <w:shd w:fill="164A60"/>
          </w:tcPr>
          <w:p>
            <w:r>
              <w:rPr>
                <w:b/>
                <w:color w:val="FFFFFF"/>
                <w:sz w:val="16"/>
              </w:rPr>
              <w:t>Payment provider status</w:t>
            </w:r>
          </w:p>
        </w:tc>
        <w:tc>
          <w:tcPr>
            <w:tcW w:type="dxa" w:w="3331"/>
            <w:shd w:fill="164A60"/>
          </w:tcPr>
          <w:p>
            <w:r>
              <w:rPr>
                <w:b/>
                <w:color w:val="FFFFFF"/>
                <w:sz w:val="16"/>
              </w:rPr>
              <w:t>TripRaft record</w:t>
            </w:r>
          </w:p>
        </w:tc>
      </w:tr>
      <w:tr>
        <w:tc>
          <w:tcPr>
            <w:tcW w:type="dxa" w:w="3331"/>
            <w:vAlign w:val="center"/>
          </w:tcPr>
          <w:p>
            <w:pPr>
              <w:spacing w:after="20"/>
            </w:pPr>
            <w:r>
              <w:rPr>
                <w:sz w:val="16"/>
              </w:rPr>
              <w:t>Create order</w:t>
            </w:r>
          </w:p>
        </w:tc>
        <w:tc>
          <w:tcPr>
            <w:tcW w:type="dxa" w:w="3331"/>
            <w:vAlign w:val="center"/>
          </w:tcPr>
          <w:p>
            <w:pPr>
              <w:spacing w:after="20"/>
            </w:pPr>
            <w:r>
              <w:rPr>
                <w:sz w:val="16"/>
              </w:rPr>
              <w:t>Requested/created</w:t>
            </w:r>
          </w:p>
        </w:tc>
        <w:tc>
          <w:tcPr>
            <w:tcW w:type="dxa" w:w="3331"/>
            <w:vAlign w:val="center"/>
          </w:tcPr>
          <w:p>
            <w:pPr>
              <w:spacing w:after="20"/>
            </w:pPr>
            <w:r>
              <w:rPr>
                <w:sz w:val="16"/>
              </w:rPr>
              <w:t>booking.quote_id, total_minor, gateway_order_id</w:t>
            </w:r>
          </w:p>
        </w:tc>
      </w:tr>
      <w:tr>
        <w:tc>
          <w:tcPr>
            <w:tcW w:type="dxa" w:w="3331"/>
            <w:vAlign w:val="center"/>
            <w:shd w:fill="F0F5F7"/>
          </w:tcPr>
          <w:p>
            <w:pPr>
              <w:spacing w:after="20"/>
            </w:pPr>
            <w:r>
              <w:rPr>
                <w:sz w:val="16"/>
              </w:rPr>
              <w:t>Customer attempts payment</w:t>
            </w:r>
          </w:p>
        </w:tc>
        <w:tc>
          <w:tcPr>
            <w:tcW w:type="dxa" w:w="3331"/>
            <w:vAlign w:val="center"/>
            <w:shd w:fill="F0F5F7"/>
          </w:tcPr>
          <w:p>
            <w:pPr>
              <w:spacing w:after="20"/>
            </w:pPr>
            <w:r>
              <w:rPr>
                <w:sz w:val="16"/>
              </w:rPr>
              <w:t>Pending/authorized</w:t>
            </w:r>
          </w:p>
        </w:tc>
        <w:tc>
          <w:tcPr>
            <w:tcW w:type="dxa" w:w="3331"/>
            <w:vAlign w:val="center"/>
            <w:shd w:fill="F0F5F7"/>
          </w:tcPr>
          <w:p>
            <w:pPr>
              <w:spacing w:after="20"/>
            </w:pPr>
            <w:r>
              <w:rPr>
                <w:sz w:val="16"/>
              </w:rPr>
              <w:t>payment_attempt + expires_at</w:t>
            </w:r>
          </w:p>
        </w:tc>
      </w:tr>
      <w:tr>
        <w:tc>
          <w:tcPr>
            <w:tcW w:type="dxa" w:w="3331"/>
            <w:vAlign w:val="center"/>
          </w:tcPr>
          <w:p>
            <w:pPr>
              <w:spacing w:after="20"/>
            </w:pPr>
            <w:r>
              <w:rPr>
                <w:sz w:val="16"/>
              </w:rPr>
              <w:t>Provider captures funds</w:t>
            </w:r>
          </w:p>
        </w:tc>
        <w:tc>
          <w:tcPr>
            <w:tcW w:type="dxa" w:w="3331"/>
            <w:vAlign w:val="center"/>
          </w:tcPr>
          <w:p>
            <w:pPr>
              <w:spacing w:after="20"/>
            </w:pPr>
            <w:r>
              <w:rPr>
                <w:sz w:val="16"/>
              </w:rPr>
              <w:t>Captured</w:t>
            </w:r>
          </w:p>
        </w:tc>
        <w:tc>
          <w:tcPr>
            <w:tcW w:type="dxa" w:w="3331"/>
            <w:vAlign w:val="center"/>
          </w:tcPr>
          <w:p>
            <w:pPr>
              <w:spacing w:after="20"/>
            </w:pPr>
            <w:r>
              <w:rPr>
                <w:sz w:val="16"/>
              </w:rPr>
              <w:t>payment_verified_at, exact amount/currency</w:t>
            </w:r>
          </w:p>
        </w:tc>
      </w:tr>
      <w:tr>
        <w:tc>
          <w:tcPr>
            <w:tcW w:type="dxa" w:w="3331"/>
            <w:vAlign w:val="center"/>
            <w:shd w:fill="F0F5F7"/>
          </w:tcPr>
          <w:p>
            <w:pPr>
              <w:spacing w:after="20"/>
            </w:pPr>
            <w:r>
              <w:rPr>
                <w:sz w:val="16"/>
              </w:rPr>
              <w:t>Operator accepts booking</w:t>
            </w:r>
          </w:p>
        </w:tc>
        <w:tc>
          <w:tcPr>
            <w:tcW w:type="dxa" w:w="3331"/>
            <w:vAlign w:val="center"/>
            <w:shd w:fill="F0F5F7"/>
          </w:tcPr>
          <w:p>
            <w:pPr>
              <w:spacing w:after="20"/>
            </w:pPr>
            <w:r>
              <w:rPr>
                <w:sz w:val="16"/>
              </w:rPr>
              <w:t>N/A (inventory/provider action)</w:t>
            </w:r>
          </w:p>
        </w:tc>
        <w:tc>
          <w:tcPr>
            <w:tcW w:type="dxa" w:w="3331"/>
            <w:vAlign w:val="center"/>
            <w:shd w:fill="F0F5F7"/>
          </w:tcPr>
          <w:p>
            <w:pPr>
              <w:spacing w:after="20"/>
            </w:pPr>
            <w:r>
              <w:rPr>
                <w:sz w:val="16"/>
              </w:rPr>
              <w:t>booking CONFIRMED, supplier_confirmation_ref</w:t>
            </w:r>
          </w:p>
        </w:tc>
      </w:tr>
      <w:tr>
        <w:tc>
          <w:tcPr>
            <w:tcW w:type="dxa" w:w="3331"/>
            <w:vAlign w:val="center"/>
          </w:tcPr>
          <w:p>
            <w:pPr>
              <w:spacing w:after="20"/>
            </w:pPr>
            <w:r>
              <w:rPr>
                <w:sz w:val="16"/>
              </w:rPr>
              <w:t>Payout request sent</w:t>
            </w:r>
          </w:p>
        </w:tc>
        <w:tc>
          <w:tcPr>
            <w:tcW w:type="dxa" w:w="3331"/>
            <w:vAlign w:val="center"/>
          </w:tcPr>
          <w:p>
            <w:pPr>
              <w:spacing w:after="20"/>
            </w:pPr>
            <w:r>
              <w:rPr>
                <w:sz w:val="16"/>
              </w:rPr>
              <w:t>Submitted/processing</w:t>
            </w:r>
          </w:p>
        </w:tc>
        <w:tc>
          <w:tcPr>
            <w:tcW w:type="dxa" w:w="3331"/>
            <w:vAlign w:val="center"/>
          </w:tcPr>
          <w:p>
            <w:pPr>
              <w:spacing w:after="20"/>
            </w:pPr>
            <w:r>
              <w:rPr>
                <w:sz w:val="16"/>
              </w:rPr>
              <w:t>payout_instruction_id, beneficiary_ref</w:t>
            </w:r>
          </w:p>
        </w:tc>
      </w:tr>
      <w:tr>
        <w:tc>
          <w:tcPr>
            <w:tcW w:type="dxa" w:w="3331"/>
            <w:vAlign w:val="center"/>
            <w:shd w:fill="F0F5F7"/>
          </w:tcPr>
          <w:p>
            <w:pPr>
              <w:spacing w:after="20"/>
            </w:pPr>
            <w:r>
              <w:rPr>
                <w:sz w:val="16"/>
              </w:rPr>
              <w:t>Vendor credited</w:t>
            </w:r>
          </w:p>
        </w:tc>
        <w:tc>
          <w:tcPr>
            <w:tcW w:type="dxa" w:w="3331"/>
            <w:vAlign w:val="center"/>
            <w:shd w:fill="F0F5F7"/>
          </w:tcPr>
          <w:p>
            <w:pPr>
              <w:spacing w:after="20"/>
            </w:pPr>
            <w:r>
              <w:rPr>
                <w:sz w:val="16"/>
              </w:rPr>
              <w:t>Processed/settled + bank recon</w:t>
            </w:r>
          </w:p>
        </w:tc>
        <w:tc>
          <w:tcPr>
            <w:tcW w:type="dxa" w:w="3331"/>
            <w:vAlign w:val="center"/>
            <w:shd w:fill="F0F5F7"/>
          </w:tcPr>
          <w:p>
            <w:pPr>
              <w:spacing w:after="20"/>
            </w:pPr>
            <w:r>
              <w:rPr>
                <w:sz w:val="16"/>
              </w:rPr>
              <w:t>settlement ref, UTR, bank matching evidence</w:t>
            </w:r>
          </w:p>
        </w:tc>
      </w:tr>
    </w:tbl>
    <w:p/>
    <w:p>
      <w:pPr>
        <w:pStyle w:val="Heading2"/>
        <w:keepNext/>
        <w:spacing w:before="240"/>
      </w:pPr>
      <w:r>
        <w:t>60. Customer-to-agent booking visibility and fulfillment</w:t>
      </w:r>
    </w:p>
    <w:p>
      <w:pPr>
        <w:spacing w:after="100"/>
      </w:pPr>
      <w:r>
        <w:t>A validated payment event does not mean an operator has accepted the inventory. All supplier reservations use one common interface: reserve -&gt; confirm -&gt; cancel/modify -&gt; fetch. The dashboard can implement this manually and provider connectors implement it electronically. Operator dashboard lists own bookings with traveler count, pickup, needed names (where consented), travel dates, package inclusions, voucher state, payment schedule and customer-service notes. Changes produce audited notifications; never expose another operator’s bookings.</w:t>
      </w:r>
    </w:p>
    <w:p>
      <w:pPr>
        <w:spacing w:before="100" w:after="80"/>
      </w:pPr>
      <w:r>
        <w:rPr>
          <w:b/>
          <w:color w:val="15394F"/>
        </w:rPr>
        <w:t>Manual supplier / request-to-book mode</w:t>
      </w:r>
    </w:p>
    <w:p>
      <w:pPr>
        <w:spacing w:after="100"/>
      </w:pPr>
      <w:r>
        <w:t>TripRaft asks supplier to accept within an SLA (e.g., 30 minutes during operating hours). Show "Request to book — not yet confirmed" and avoid capturing nonrefundable full payment before supplier commitment. If payment precedes supplier decision, disclose pending status and run an automated refund on rejection. No "instant confirmation" without allocation or a verified provider confirmation.</w:t>
      </w:r>
    </w:p>
    <w:p>
      <w:pPr>
        <w:spacing w:before="100" w:after="80"/>
      </w:pPr>
      <w:r>
        <w:rPr>
          <w:b/>
          <w:color w:val="15394F"/>
        </w:rPr>
        <w:t>Allocated instant booking mode</w:t>
      </w:r>
    </w:p>
    <w:p>
      <w:pPr>
        <w:spacing w:after="100"/>
      </w:pPr>
      <w:r>
        <w:t>Supplier allocates dedicated inventory to TripRaft. Hold seats transactionally, verify payment and supplier policy, convert hold to confirmed booking, decrement availability and notify the operator. Offline sales against the same inventory must be forbidden or synchronized to prevent double-booking.</w:t>
      </w:r>
    </w:p>
    <w:p>
      <w:pPr>
        <w:pStyle w:val="Heading2"/>
        <w:keepNext/>
        <w:spacing w:before="240"/>
      </w:pPr>
      <w:r>
        <w:t>61. Product-level policy configuration and records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Field / decision</w:t>
            </w:r>
          </w:p>
        </w:tc>
        <w:tc>
          <w:tcPr>
            <w:tcW w:type="dxa" w:w="3331"/>
            <w:shd w:fill="164A60"/>
          </w:tcPr>
          <w:p>
            <w:r>
              <w:rPr>
                <w:b/>
                <w:color w:val="FFFFFF"/>
                <w:sz w:val="16"/>
              </w:rPr>
              <w:t>MARKETPLACE</w:t>
            </w:r>
          </w:p>
        </w:tc>
        <w:tc>
          <w:tcPr>
            <w:tcW w:type="dxa" w:w="3331"/>
            <w:shd w:fill="164A60"/>
          </w:tcPr>
          <w:p>
            <w:r>
              <w:rPr>
                <w:b/>
                <w:color w:val="FFFFFF"/>
                <w:sz w:val="16"/>
              </w:rPr>
              <w:t>RESELLER</w:t>
            </w:r>
          </w:p>
        </w:tc>
      </w:tr>
      <w:tr>
        <w:tc>
          <w:tcPr>
            <w:tcW w:type="dxa" w:w="3331"/>
            <w:vAlign w:val="center"/>
          </w:tcPr>
          <w:p>
            <w:pPr>
              <w:spacing w:after="20"/>
            </w:pPr>
            <w:r>
              <w:rPr>
                <w:sz w:val="16"/>
              </w:rPr>
              <w:t>sale_model</w:t>
            </w:r>
          </w:p>
        </w:tc>
        <w:tc>
          <w:tcPr>
            <w:tcW w:type="dxa" w:w="3331"/>
            <w:vAlign w:val="center"/>
          </w:tcPr>
          <w:p>
            <w:pPr>
              <w:spacing w:after="20"/>
            </w:pPr>
            <w:r>
              <w:rPr>
                <w:sz w:val="16"/>
              </w:rPr>
              <w:t>MARKETPLACE immutable</w:t>
            </w:r>
          </w:p>
        </w:tc>
        <w:tc>
          <w:tcPr>
            <w:tcW w:type="dxa" w:w="3331"/>
            <w:vAlign w:val="center"/>
          </w:tcPr>
          <w:p>
            <w:pPr>
              <w:spacing w:after="20"/>
            </w:pPr>
            <w:r>
              <w:rPr>
                <w:sz w:val="16"/>
              </w:rPr>
              <w:t>RESELLER immutable</w:t>
            </w:r>
          </w:p>
        </w:tc>
      </w:tr>
      <w:tr>
        <w:tc>
          <w:tcPr>
            <w:tcW w:type="dxa" w:w="3331"/>
            <w:vAlign w:val="center"/>
            <w:shd w:fill="F0F5F7"/>
          </w:tcPr>
          <w:p>
            <w:pPr>
              <w:spacing w:after="20"/>
            </w:pPr>
            <w:r>
              <w:rPr>
                <w:sz w:val="16"/>
              </w:rPr>
              <w:t>customer_invoice_issuer</w:t>
            </w:r>
          </w:p>
        </w:tc>
        <w:tc>
          <w:tcPr>
            <w:tcW w:type="dxa" w:w="3331"/>
            <w:vAlign w:val="center"/>
            <w:shd w:fill="F0F5F7"/>
          </w:tcPr>
          <w:p>
            <w:pPr>
              <w:spacing w:after="20"/>
            </w:pPr>
            <w:r>
              <w:rPr>
                <w:sz w:val="16"/>
              </w:rPr>
              <w:t>Supplier legal entity</w:t>
            </w:r>
          </w:p>
        </w:tc>
        <w:tc>
          <w:tcPr>
            <w:tcW w:type="dxa" w:w="3331"/>
            <w:vAlign w:val="center"/>
            <w:shd w:fill="F0F5F7"/>
          </w:tcPr>
          <w:p>
            <w:pPr>
              <w:spacing w:after="20"/>
            </w:pPr>
            <w:r>
              <w:rPr>
                <w:sz w:val="16"/>
              </w:rPr>
              <w:t>TripRaft legal entity</w:t>
            </w:r>
          </w:p>
        </w:tc>
      </w:tr>
      <w:tr>
        <w:tc>
          <w:tcPr>
            <w:tcW w:type="dxa" w:w="3331"/>
            <w:vAlign w:val="center"/>
          </w:tcPr>
          <w:p>
            <w:pPr>
              <w:spacing w:after="20"/>
            </w:pPr>
            <w:r>
              <w:rPr>
                <w:sz w:val="16"/>
              </w:rPr>
              <w:t>supplier_price_input</w:t>
            </w:r>
          </w:p>
        </w:tc>
        <w:tc>
          <w:tcPr>
            <w:tcW w:type="dxa" w:w="3331"/>
            <w:vAlign w:val="center"/>
          </w:tcPr>
          <w:p>
            <w:pPr>
              <w:spacing w:after="20"/>
            </w:pPr>
            <w:r>
              <w:rPr>
                <w:sz w:val="16"/>
              </w:rPr>
              <w:t>Commission basis/retail floor</w:t>
            </w:r>
          </w:p>
        </w:tc>
        <w:tc>
          <w:tcPr>
            <w:tcW w:type="dxa" w:w="3331"/>
            <w:vAlign w:val="center"/>
          </w:tcPr>
          <w:p>
            <w:pPr>
              <w:spacing w:after="20"/>
            </w:pPr>
            <w:r>
              <w:rPr>
                <w:sz w:val="16"/>
              </w:rPr>
              <w:t>Contracted B2B supplier cost</w:t>
            </w:r>
          </w:p>
        </w:tc>
      </w:tr>
      <w:tr>
        <w:tc>
          <w:tcPr>
            <w:tcW w:type="dxa" w:w="3331"/>
            <w:vAlign w:val="center"/>
            <w:shd w:fill="F0F5F7"/>
          </w:tcPr>
          <w:p>
            <w:pPr>
              <w:spacing w:after="20"/>
            </w:pPr>
            <w:r>
              <w:rPr>
                <w:sz w:val="16"/>
              </w:rPr>
              <w:t>customer_price_authority</w:t>
            </w:r>
          </w:p>
        </w:tc>
        <w:tc>
          <w:tcPr>
            <w:tcW w:type="dxa" w:w="3331"/>
            <w:vAlign w:val="center"/>
            <w:shd w:fill="F0F5F7"/>
          </w:tcPr>
          <w:p>
            <w:pPr>
              <w:spacing w:after="20"/>
            </w:pPr>
            <w:r>
              <w:rPr>
                <w:sz w:val="16"/>
              </w:rPr>
              <w:t>Supplier / approved promotion</w:t>
            </w:r>
          </w:p>
        </w:tc>
        <w:tc>
          <w:tcPr>
            <w:tcW w:type="dxa" w:w="3331"/>
            <w:vAlign w:val="center"/>
            <w:shd w:fill="F0F5F7"/>
          </w:tcPr>
          <w:p>
            <w:pPr>
              <w:spacing w:after="20"/>
            </w:pPr>
            <w:r>
              <w:rPr>
                <w:sz w:val="16"/>
              </w:rPr>
              <w:t>TripRaft / contract guardrails</w:t>
            </w:r>
          </w:p>
        </w:tc>
      </w:tr>
      <w:tr>
        <w:tc>
          <w:tcPr>
            <w:tcW w:type="dxa" w:w="3331"/>
            <w:vAlign w:val="center"/>
          </w:tcPr>
          <w:p>
            <w:pPr>
              <w:spacing w:after="20"/>
            </w:pPr>
            <w:r>
              <w:rPr>
                <w:sz w:val="16"/>
              </w:rPr>
              <w:t>tax_engine</w:t>
            </w:r>
          </w:p>
        </w:tc>
        <w:tc>
          <w:tcPr>
            <w:tcW w:type="dxa" w:w="3331"/>
            <w:vAlign w:val="center"/>
          </w:tcPr>
          <w:p>
            <w:pPr>
              <w:spacing w:after="20"/>
            </w:pPr>
            <w:r>
              <w:rPr>
                <w:sz w:val="16"/>
              </w:rPr>
              <w:t>Operator tour GST + TripRaft commission GST</w:t>
            </w:r>
          </w:p>
        </w:tc>
        <w:tc>
          <w:tcPr>
            <w:tcW w:type="dxa" w:w="3331"/>
            <w:vAlign w:val="center"/>
          </w:tcPr>
          <w:p>
            <w:pPr>
              <w:spacing w:after="20"/>
            </w:pPr>
            <w:r>
              <w:rPr>
                <w:sz w:val="16"/>
              </w:rPr>
              <w:t>TripRaft tour GST + supplier input tax treatment</w:t>
            </w:r>
          </w:p>
        </w:tc>
      </w:tr>
      <w:tr>
        <w:tc>
          <w:tcPr>
            <w:tcW w:type="dxa" w:w="3331"/>
            <w:vAlign w:val="center"/>
            <w:shd w:fill="F0F5F7"/>
          </w:tcPr>
          <w:p>
            <w:pPr>
              <w:spacing w:after="20"/>
            </w:pPr>
            <w:r>
              <w:rPr>
                <w:sz w:val="16"/>
              </w:rPr>
              <w:t>revenue_basis</w:t>
            </w:r>
          </w:p>
        </w:tc>
        <w:tc>
          <w:tcPr>
            <w:tcW w:type="dxa" w:w="3331"/>
            <w:vAlign w:val="center"/>
            <w:shd w:fill="F0F5F7"/>
          </w:tcPr>
          <w:p>
            <w:pPr>
              <w:spacing w:after="20"/>
            </w:pPr>
            <w:r>
              <w:rPr>
                <w:sz w:val="16"/>
              </w:rPr>
              <w:t>Commission/service revenue excl. GST</w:t>
            </w:r>
          </w:p>
        </w:tc>
        <w:tc>
          <w:tcPr>
            <w:tcW w:type="dxa" w:w="3331"/>
            <w:vAlign w:val="center"/>
            <w:shd w:fill="F0F5F7"/>
          </w:tcPr>
          <w:p>
            <w:pPr>
              <w:spacing w:after="20"/>
            </w:pPr>
            <w:r>
              <w:rPr>
                <w:sz w:val="16"/>
              </w:rPr>
              <w:t>Sale revenue excl. GST minus supplier cost</w:t>
            </w:r>
          </w:p>
        </w:tc>
      </w:tr>
      <w:tr>
        <w:tc>
          <w:tcPr>
            <w:tcW w:type="dxa" w:w="3331"/>
            <w:vAlign w:val="center"/>
          </w:tcPr>
          <w:p>
            <w:pPr>
              <w:spacing w:after="20"/>
            </w:pPr>
            <w:r>
              <w:rPr>
                <w:sz w:val="16"/>
              </w:rPr>
              <w:t>payout_policy</w:t>
            </w:r>
          </w:p>
        </w:tc>
        <w:tc>
          <w:tcPr>
            <w:tcW w:type="dxa" w:w="3331"/>
            <w:vAlign w:val="center"/>
          </w:tcPr>
          <w:p>
            <w:pPr>
              <w:spacing w:after="20"/>
            </w:pPr>
            <w:r>
              <w:rPr>
                <w:sz w:val="16"/>
              </w:rPr>
              <w:t>Marketplace vendor settlement</w:t>
            </w:r>
          </w:p>
        </w:tc>
        <w:tc>
          <w:tcPr>
            <w:tcW w:type="dxa" w:w="3331"/>
            <w:vAlign w:val="center"/>
          </w:tcPr>
          <w:p>
            <w:pPr>
              <w:spacing w:after="20"/>
            </w:pPr>
            <w:r>
              <w:rPr>
                <w:sz w:val="16"/>
              </w:rPr>
              <w:t>Trade payable or approved vendor settlement</w:t>
            </w:r>
          </w:p>
        </w:tc>
      </w:tr>
      <w:tr>
        <w:tc>
          <w:tcPr>
            <w:tcW w:type="dxa" w:w="3331"/>
            <w:vAlign w:val="center"/>
            <w:shd w:fill="F0F5F7"/>
          </w:tcPr>
          <w:p>
            <w:pPr>
              <w:spacing w:after="20"/>
            </w:pPr>
            <w:r>
              <w:rPr>
                <w:sz w:val="16"/>
              </w:rPr>
              <w:t>refund_decision</w:t>
            </w:r>
          </w:p>
        </w:tc>
        <w:tc>
          <w:tcPr>
            <w:tcW w:type="dxa" w:w="3331"/>
            <w:vAlign w:val="center"/>
            <w:shd w:fill="F0F5F7"/>
          </w:tcPr>
          <w:p>
            <w:pPr>
              <w:spacing w:after="20"/>
            </w:pPr>
            <w:r>
              <w:rPr>
                <w:sz w:val="16"/>
              </w:rPr>
              <w:t>Supplier policy + platform responsibilities</w:t>
            </w:r>
          </w:p>
        </w:tc>
        <w:tc>
          <w:tcPr>
            <w:tcW w:type="dxa" w:w="3331"/>
            <w:vAlign w:val="center"/>
            <w:shd w:fill="F0F5F7"/>
          </w:tcPr>
          <w:p>
            <w:pPr>
              <w:spacing w:after="20"/>
            </w:pPr>
            <w:r>
              <w:rPr>
                <w:sz w:val="16"/>
              </w:rPr>
              <w:t>TripRaft customer-facing return obligations</w:t>
            </w:r>
          </w:p>
        </w:tc>
      </w:tr>
    </w:tbl>
    <w:p/>
    <w:p>
      <w:pPr>
        <w:spacing w:after="100"/>
      </w:pPr>
      <w:r>
        <w:t>Even when a single supplier sells both offer types, use separate contracts and separate offers. A bundle combining multiple sellers requires component-level merchant-of-record and tax logic; defer multi-seller checkout until approved by the payments and tax teams.</w:t>
      </w:r>
    </w:p>
    <w:p>
      <w:pPr>
        <w:pStyle w:val="Heading2"/>
        <w:keepNext/>
        <w:spacing w:before="240"/>
      </w:pPr>
      <w:r>
        <w:t>62. Contract and launch readiness checklist for dual models</w:t>
      </w:r>
    </w:p>
    <w:p>
      <w:pPr>
        <w:pStyle w:val="ListBullet"/>
        <w:spacing w:after="40"/>
      </w:pPr>
      <w:r>
        <w:t>TripRaft legal entity and payment-processing geography recorded; supplier bank country allowed.</w:t>
      </w:r>
    </w:p>
    <w:p>
      <w:pPr>
        <w:pStyle w:val="ListBullet"/>
        <w:spacing w:after="40"/>
      </w:pPr>
      <w:r>
        <w:t>Written agreement names legal seller, customer invoice issuer, commissions/net rates and exact GST inclusivity.</w:t>
      </w:r>
    </w:p>
    <w:p>
      <w:pPr>
        <w:pStyle w:val="ListBullet"/>
        <w:spacing w:after="40"/>
      </w:pPr>
      <w:r>
        <w:t>Supplier identity, beneficial owner and bank beneficiary verified before payouts.</w:t>
      </w:r>
    </w:p>
    <w:p>
      <w:pPr>
        <w:pStyle w:val="ListBullet"/>
        <w:spacing w:after="40"/>
      </w:pPr>
      <w:r>
        <w:t>Cancellation/refund and operator failure liabilities expressly allocated; dispute reserve defined.</w:t>
      </w:r>
    </w:p>
    <w:p>
      <w:pPr>
        <w:pStyle w:val="ListBullet"/>
        <w:spacing w:after="40"/>
      </w:pPr>
      <w:r>
        <w:t>Rates and capacity source mode tested; close-out/blackout dates honored.</w:t>
      </w:r>
    </w:p>
    <w:p>
      <w:pPr>
        <w:pStyle w:val="ListBullet"/>
        <w:spacing w:after="40"/>
      </w:pPr>
      <w:r>
        <w:t>Consent/privacy/data retention covering traveler names, ID documents and manifests approved.</w:t>
      </w:r>
    </w:p>
    <w:p>
      <w:pPr>
        <w:pStyle w:val="ListBullet"/>
        <w:spacing w:after="40"/>
      </w:pPr>
      <w:r>
        <w:t>Tax professional signs off tour classification, GST/ITC, GST e-commerce TCS, income tax withholding and invoicing.</w:t>
      </w:r>
    </w:p>
    <w:p>
      <w:pPr>
        <w:pStyle w:val="ListBullet"/>
        <w:spacing w:after="40"/>
      </w:pPr>
      <w:r>
        <w:t>Dispute and fraud playbook tested in sandbox, including refund after supplier payout.</w:t>
      </w:r>
    </w:p>
    <w:p>
      <w:pPr>
        <w:pStyle w:val="Heading1"/>
        <w:keepNext/>
        <w:spacing w:before="360"/>
      </w:pPr>
      <w:r>
        <w:t>PART XII — PRODUCTION BUILD, FINANCES AND FOUNDER GROWTH</w:t>
      </w:r>
    </w:p>
    <w:p>
      <w:pPr>
        <w:pStyle w:val="Heading2"/>
        <w:keepNext/>
        <w:spacing w:before="240"/>
      </w:pPr>
      <w:r>
        <w:t>63. One practical deployment architecture</w:t>
      </w:r>
    </w:p>
    <w:p>
      <w:pPr>
        <w:spacing w:after="100"/>
      </w:pPr>
      <w:r>
        <w:t>Recommended v1: Next.js or React frontend for consumer/agent/admin portals; Python FastAPI modular backend; PostgreSQL for commerce, quotes, inventory and financial ledger; background worker / queue for expirations, notifications and webhook processing; managed object storage for vouchers and images; email/SMS providers; one approved Indian payment processor if legal entity eligible. Keep current SQLite catalog as a separate read-only or materialized discovery source during migration. Later replicate/search catalog into PostgreSQL or dedicated search without rewriting original stable place IDs.</w:t>
      </w:r>
    </w:p>
    <w:p>
      <w:pPr>
        <w:spacing w:after="0" w:line="240" w:lineRule="auto"/>
        <w:ind w:left="202" w:right="115"/>
      </w:pPr>
      <w:r>
        <w:rPr>
          <w:rFonts w:ascii="Consolas" w:hAnsi="Consolas"/>
          <w:color w:val="2A4350"/>
          <w:sz w:val="15"/>
        </w:rPr>
        <w:t xml:space="preserve">                          TripRaft consumer / group / agency UI</w:t>
      </w:r>
    </w:p>
    <w:p>
      <w:pPr>
        <w:spacing w:after="0" w:line="240" w:lineRule="auto"/>
        <w:ind w:left="202" w:right="115"/>
      </w:pPr>
      <w:r>
        <w:rPr>
          <w:rFonts w:ascii="Consolas" w:hAnsi="Consolas"/>
          <w:color w:val="2A4350"/>
          <w:sz w:val="15"/>
        </w:rPr>
        <w:t xml:space="preserve">                                          |</w:t>
      </w:r>
    </w:p>
    <w:p>
      <w:pPr>
        <w:spacing w:after="0" w:line="240" w:lineRule="auto"/>
        <w:ind w:left="202" w:right="115"/>
      </w:pPr>
      <w:r>
        <w:rPr>
          <w:rFonts w:ascii="Consolas" w:hAnsi="Consolas"/>
          <w:color w:val="2A4350"/>
          <w:sz w:val="15"/>
        </w:rPr>
        <w:t xml:space="preserve">                              Backend API (RBAC, tenant checks)</w:t>
      </w:r>
    </w:p>
    <w:p>
      <w:pPr>
        <w:spacing w:after="0" w:line="240" w:lineRule="auto"/>
        <w:ind w:left="202" w:right="115"/>
      </w:pPr>
      <w:r>
        <w:rPr>
          <w:rFonts w:ascii="Consolas" w:hAnsi="Consolas"/>
          <w:color w:val="2A4350"/>
          <w:sz w:val="15"/>
        </w:rPr>
        <w:t xml:space="preserve">                      +-------------------+-------------------+</w:t>
      </w:r>
    </w:p>
    <w:p>
      <w:pPr>
        <w:spacing w:after="0" w:line="240" w:lineRule="auto"/>
        <w:ind w:left="202" w:right="115"/>
      </w:pPr>
      <w:r>
        <w:rPr>
          <w:rFonts w:ascii="Consolas" w:hAnsi="Consolas"/>
          <w:color w:val="2A4350"/>
          <w:sz w:val="15"/>
        </w:rPr>
        <w:t xml:space="preserve">                      |                   |                   |</w:t>
      </w:r>
    </w:p>
    <w:p>
      <w:pPr>
        <w:spacing w:after="0" w:line="240" w:lineRule="auto"/>
        <w:ind w:left="202" w:right="115"/>
      </w:pPr>
      <w:r>
        <w:rPr>
          <w:rFonts w:ascii="Consolas" w:hAnsi="Consolas"/>
          <w:color w:val="2A4350"/>
          <w:sz w:val="15"/>
        </w:rPr>
        <w:t xml:space="preserve">              Discovery / AI       Commerce modules      Supplier adapters</w:t>
      </w:r>
    </w:p>
    <w:p>
      <w:pPr>
        <w:spacing w:after="0" w:line="240" w:lineRule="auto"/>
        <w:ind w:left="202" w:right="115"/>
      </w:pPr>
      <w:r>
        <w:rPr>
          <w:rFonts w:ascii="Consolas" w:hAnsi="Consolas"/>
          <w:color w:val="2A4350"/>
          <w:sz w:val="15"/>
        </w:rPr>
        <w:t xml:space="preserve">              catalog / Scout      Offers -&gt; quotes       Manual / Rezdy /</w:t>
      </w:r>
    </w:p>
    <w:p>
      <w:pPr>
        <w:spacing w:after="0" w:line="240" w:lineRule="auto"/>
        <w:ind w:left="202" w:right="115"/>
      </w:pPr>
      <w:r>
        <w:rPr>
          <w:rFonts w:ascii="Consolas" w:hAnsi="Consolas"/>
          <w:color w:val="2A4350"/>
          <w:sz w:val="15"/>
        </w:rPr>
        <w:t xml:space="preserve">              Crew / RAG           Holds -&gt; payments      Partner webhooks</w:t>
      </w:r>
    </w:p>
    <w:p>
      <w:pPr>
        <w:spacing w:after="0" w:line="240" w:lineRule="auto"/>
        <w:ind w:left="202" w:right="115"/>
      </w:pPr>
      <w:r>
        <w:rPr>
          <w:rFonts w:ascii="Consolas" w:hAnsi="Consolas"/>
          <w:color w:val="2A4350"/>
          <w:sz w:val="15"/>
        </w:rPr>
        <w:t xml:space="preserve">                                    Payouts -&gt; ledger</w:t>
      </w:r>
    </w:p>
    <w:p>
      <w:pPr>
        <w:spacing w:after="0" w:line="240" w:lineRule="auto"/>
        <w:ind w:left="202" w:right="115"/>
      </w:pPr>
      <w:r>
        <w:rPr>
          <w:rFonts w:ascii="Consolas" w:hAnsi="Consolas"/>
          <w:color w:val="2A4350"/>
          <w:sz w:val="15"/>
        </w:rPr>
        <w:t xml:space="preserve">                      |                   |                   |</w:t>
      </w:r>
    </w:p>
    <w:p>
      <w:pPr>
        <w:spacing w:after="0" w:line="240" w:lineRule="auto"/>
        <w:ind w:left="202" w:right="115"/>
      </w:pPr>
      <w:r>
        <w:rPr>
          <w:rFonts w:ascii="Consolas" w:hAnsi="Consolas"/>
          <w:color w:val="2A4350"/>
          <w:sz w:val="15"/>
        </w:rPr>
        <w:t xml:space="preserve">                SQLite catalog       PostgreSQL        Gateway + external API</w:t>
      </w:r>
    </w:p>
    <w:p>
      <w:pPr>
        <w:spacing w:after="0" w:line="240" w:lineRule="auto"/>
        <w:ind w:left="202" w:right="115"/>
      </w:pPr>
      <w:r>
        <w:rPr>
          <w:rFonts w:ascii="Consolas" w:hAnsi="Consolas"/>
          <w:color w:val="2A4350"/>
          <w:sz w:val="15"/>
        </w:rPr>
        <w:t xml:space="preserve">                                          |</w:t>
      </w:r>
    </w:p>
    <w:p>
      <w:pPr>
        <w:spacing w:after="0" w:line="240" w:lineRule="auto"/>
        <w:ind w:left="202" w:right="115"/>
      </w:pPr>
      <w:r>
        <w:rPr>
          <w:rFonts w:ascii="Consolas" w:hAnsi="Consolas"/>
          <w:color w:val="2A4350"/>
          <w:sz w:val="15"/>
        </w:rPr>
        <w:t xml:space="preserve">                                  Jobs / events / audit</w:t>
      </w:r>
    </w:p>
    <w:p/>
    <w:p>
      <w:pPr>
        <w:spacing w:after="100"/>
      </w:pPr>
      <w:r>
        <w:t>Use authenticated service-to-service tools for AI agents. Planner models should not write prices, payment statuses, availability or voucher data directly. Every irreversible booking or payout action requires deterministic backend validation and explicit human action or approved automation scope.</w:t>
      </w:r>
    </w:p>
    <w:p>
      <w:pPr>
        <w:pStyle w:val="Heading2"/>
        <w:keepNext/>
        <w:spacing w:before="240"/>
      </w:pPr>
      <w:r>
        <w:t>64. Data schema: the minimum NEW PostgreSQL tables</w:t>
      </w:r>
    </w:p>
    <w:p>
      <w:pPr>
        <w:spacing w:after="100"/>
      </w:pPr>
      <w:r>
        <w:t>Catalog facts measured from uploaded tripraft-canonical.db: countries 190; states 1,739; cities 3,380; places 22,925; airports 315; photos 21,564; catalog ticket_prices and ticket_price_revisions both have zero rows. This is destination reference data, NOT package inventory or real checkout state. Preserve stable place IDs. Do not pretend catalog ticket amounts are actual supplier offers.</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4A60"/>
          </w:tcPr>
          <w:p>
            <w:r>
              <w:rPr>
                <w:b/>
                <w:color w:val="FFFFFF"/>
                <w:sz w:val="16"/>
              </w:rPr>
              <w:t>Table</w:t>
            </w:r>
          </w:p>
        </w:tc>
        <w:tc>
          <w:tcPr>
            <w:tcW w:type="dxa" w:w="4997"/>
            <w:shd w:fill="164A60"/>
          </w:tcPr>
          <w:p>
            <w:r>
              <w:rPr>
                <w:b/>
                <w:color w:val="FFFFFF"/>
                <w:sz w:val="16"/>
              </w:rPr>
              <w:t>Required data and key constraints</w:t>
            </w:r>
          </w:p>
        </w:tc>
      </w:tr>
      <w:tr>
        <w:tc>
          <w:tcPr>
            <w:tcW w:type="dxa" w:w="4997"/>
            <w:vAlign w:val="center"/>
          </w:tcPr>
          <w:p>
            <w:pPr>
              <w:spacing w:after="20"/>
            </w:pPr>
            <w:r>
              <w:rPr>
                <w:sz w:val="16"/>
              </w:rPr>
              <w:t>suppliers</w:t>
            </w:r>
          </w:p>
        </w:tc>
        <w:tc>
          <w:tcPr>
            <w:tcW w:type="dxa" w:w="4997"/>
            <w:vAlign w:val="center"/>
          </w:tcPr>
          <w:p>
            <w:pPr>
              <w:spacing w:after="20"/>
            </w:pPr>
            <w:r>
              <w:rPr>
                <w:sz w:val="16"/>
              </w:rPr>
              <w:t>id, legal_name, tax_profile_ref, KYC status, payout account token, verified_at</w:t>
            </w:r>
          </w:p>
        </w:tc>
      </w:tr>
      <w:tr>
        <w:tc>
          <w:tcPr>
            <w:tcW w:type="dxa" w:w="4997"/>
            <w:vAlign w:val="center"/>
            <w:shd w:fill="F0F5F7"/>
          </w:tcPr>
          <w:p>
            <w:pPr>
              <w:spacing w:after="20"/>
            </w:pPr>
            <w:r>
              <w:rPr>
                <w:sz w:val="16"/>
              </w:rPr>
              <w:t>supplier_contracts</w:t>
            </w:r>
          </w:p>
        </w:tc>
        <w:tc>
          <w:tcPr>
            <w:tcW w:type="dxa" w:w="4997"/>
            <w:vAlign w:val="center"/>
            <w:shd w:fill="F0F5F7"/>
          </w:tcPr>
          <w:p>
            <w:pPr>
              <w:spacing w:after="20"/>
            </w:pPr>
            <w:r>
              <w:rPr>
                <w:sz w:val="16"/>
              </w:rPr>
              <w:t>supplier_id, sale_model, validity, currency, payout and refund rules, price authority, tax inclusivity</w:t>
            </w:r>
          </w:p>
        </w:tc>
      </w:tr>
      <w:tr>
        <w:tc>
          <w:tcPr>
            <w:tcW w:type="dxa" w:w="4997"/>
            <w:vAlign w:val="center"/>
          </w:tcPr>
          <w:p>
            <w:pPr>
              <w:spacing w:after="20"/>
            </w:pPr>
            <w:r>
              <w:rPr>
                <w:sz w:val="16"/>
              </w:rPr>
              <w:t>offers</w:t>
            </w:r>
          </w:p>
        </w:tc>
        <w:tc>
          <w:tcPr>
            <w:tcW w:type="dxa" w:w="4997"/>
            <w:vAlign w:val="center"/>
          </w:tcPr>
          <w:p>
            <w:pPr>
              <w:spacing w:after="20"/>
            </w:pPr>
            <w:r>
              <w:rPr>
                <w:sz w:val="16"/>
              </w:rPr>
              <w:t>id, supplier_id, sale_model, title, public description, seller ID, place_id external mapping</w:t>
            </w:r>
          </w:p>
        </w:tc>
      </w:tr>
      <w:tr>
        <w:tc>
          <w:tcPr>
            <w:tcW w:type="dxa" w:w="4997"/>
            <w:vAlign w:val="center"/>
            <w:shd w:fill="F0F5F7"/>
          </w:tcPr>
          <w:p>
            <w:pPr>
              <w:spacing w:after="20"/>
            </w:pPr>
            <w:r>
              <w:rPr>
                <w:sz w:val="16"/>
              </w:rPr>
              <w:t>departures</w:t>
            </w:r>
          </w:p>
        </w:tc>
        <w:tc>
          <w:tcPr>
            <w:tcW w:type="dxa" w:w="4997"/>
            <w:vAlign w:val="center"/>
            <w:shd w:fill="F0F5F7"/>
          </w:tcPr>
          <w:p>
            <w:pPr>
              <w:spacing w:after="20"/>
            </w:pPr>
            <w:r>
              <w:rPr>
                <w:sz w:val="16"/>
              </w:rPr>
              <w:t>offer_id, capacity, sold, held, availability mode, departure timestamps, version</w:t>
            </w:r>
          </w:p>
        </w:tc>
      </w:tr>
      <w:tr>
        <w:tc>
          <w:tcPr>
            <w:tcW w:type="dxa" w:w="4997"/>
            <w:vAlign w:val="center"/>
          </w:tcPr>
          <w:p>
            <w:pPr>
              <w:spacing w:after="20"/>
            </w:pPr>
            <w:r>
              <w:rPr>
                <w:sz w:val="16"/>
              </w:rPr>
              <w:t>price_rules + price_quotes</w:t>
            </w:r>
          </w:p>
        </w:tc>
        <w:tc>
          <w:tcPr>
            <w:tcW w:type="dxa" w:w="4997"/>
            <w:vAlign w:val="center"/>
          </w:tcPr>
          <w:p>
            <w:pPr>
              <w:spacing w:after="20"/>
            </w:pPr>
            <w:r>
              <w:rPr>
                <w:sz w:val="16"/>
              </w:rPr>
              <w:t>effective version, floor/cap, component taxes, discounts, fees, total_minor, expiry</w:t>
            </w:r>
          </w:p>
        </w:tc>
      </w:tr>
      <w:tr>
        <w:tc>
          <w:tcPr>
            <w:tcW w:type="dxa" w:w="4997"/>
            <w:vAlign w:val="center"/>
            <w:shd w:fill="F0F5F7"/>
          </w:tcPr>
          <w:p>
            <w:pPr>
              <w:spacing w:after="20"/>
            </w:pPr>
            <w:r>
              <w:rPr>
                <w:sz w:val="16"/>
              </w:rPr>
              <w:t>seat_holds + bookings</w:t>
            </w:r>
          </w:p>
        </w:tc>
        <w:tc>
          <w:tcPr>
            <w:tcW w:type="dxa" w:w="4997"/>
            <w:vAlign w:val="center"/>
            <w:shd w:fill="F0F5F7"/>
          </w:tcPr>
          <w:p>
            <w:pPr>
              <w:spacing w:after="20"/>
            </w:pPr>
            <w:r>
              <w:rPr>
                <w:sz w:val="16"/>
              </w:rPr>
              <w:t>reservation token, seat_count, hold expiry, status transitions, confirmation ref</w:t>
            </w:r>
          </w:p>
        </w:tc>
      </w:tr>
      <w:tr>
        <w:tc>
          <w:tcPr>
            <w:tcW w:type="dxa" w:w="4997"/>
            <w:vAlign w:val="center"/>
          </w:tcPr>
          <w:p>
            <w:pPr>
              <w:spacing w:after="20"/>
            </w:pPr>
            <w:r>
              <w:rPr>
                <w:sz w:val="16"/>
              </w:rPr>
              <w:t>payment_attempts + webhook_inbox</w:t>
            </w:r>
          </w:p>
        </w:tc>
        <w:tc>
          <w:tcPr>
            <w:tcW w:type="dxa" w:w="4997"/>
            <w:vAlign w:val="center"/>
          </w:tcPr>
          <w:p>
            <w:pPr>
              <w:spacing w:after="20"/>
            </w:pPr>
            <w:r>
              <w:rPr>
                <w:sz w:val="16"/>
              </w:rPr>
              <w:t>gateway refs, expected vs verified amount, unique event IDs, signed event state</w:t>
            </w:r>
          </w:p>
        </w:tc>
      </w:tr>
      <w:tr>
        <w:tc>
          <w:tcPr>
            <w:tcW w:type="dxa" w:w="4997"/>
            <w:vAlign w:val="center"/>
            <w:shd w:fill="F0F5F7"/>
          </w:tcPr>
          <w:p>
            <w:pPr>
              <w:spacing w:after="20"/>
            </w:pPr>
            <w:r>
              <w:rPr>
                <w:sz w:val="16"/>
              </w:rPr>
              <w:t>supplier_payouts + ledger_entries</w:t>
            </w:r>
          </w:p>
        </w:tc>
        <w:tc>
          <w:tcPr>
            <w:tcW w:type="dxa" w:w="4997"/>
            <w:vAlign w:val="center"/>
            <w:shd w:fill="F0F5F7"/>
          </w:tcPr>
          <w:p>
            <w:pPr>
              <w:spacing w:after="20"/>
            </w:pPr>
            <w:r>
              <w:rPr>
                <w:sz w:val="16"/>
              </w:rPr>
              <w:t>supplier/commission fee, status, UTR/ref, debit/credit journal and reconciliation</w:t>
            </w:r>
          </w:p>
        </w:tc>
      </w:tr>
      <w:tr>
        <w:tc>
          <w:tcPr>
            <w:tcW w:type="dxa" w:w="4997"/>
            <w:vAlign w:val="center"/>
          </w:tcPr>
          <w:p>
            <w:pPr>
              <w:spacing w:after="20"/>
            </w:pPr>
            <w:r>
              <w:rPr>
                <w:sz w:val="16"/>
              </w:rPr>
              <w:t>invoices + tax_lines</w:t>
            </w:r>
          </w:p>
        </w:tc>
        <w:tc>
          <w:tcPr>
            <w:tcW w:type="dxa" w:w="4997"/>
            <w:vAlign w:val="center"/>
          </w:tcPr>
          <w:p>
            <w:pPr>
              <w:spacing w:after="20"/>
            </w:pPr>
            <w:r>
              <w:rPr>
                <w:sz w:val="16"/>
              </w:rPr>
              <w:t>issuer, recipient, taxable value, GST type/rate, place of supply, credits and source quote</w:t>
            </w:r>
          </w:p>
        </w:tc>
      </w:tr>
      <w:tr>
        <w:tc>
          <w:tcPr>
            <w:tcW w:type="dxa" w:w="4997"/>
            <w:vAlign w:val="center"/>
            <w:shd w:fill="F0F5F7"/>
          </w:tcPr>
          <w:p>
            <w:pPr>
              <w:spacing w:after="20"/>
            </w:pPr>
            <w:r>
              <w:rPr>
                <w:sz w:val="16"/>
              </w:rPr>
              <w:t>audit_events + notifications</w:t>
            </w:r>
          </w:p>
        </w:tc>
        <w:tc>
          <w:tcPr>
            <w:tcW w:type="dxa" w:w="4997"/>
            <w:vAlign w:val="center"/>
            <w:shd w:fill="F0F5F7"/>
          </w:tcPr>
          <w:p>
            <w:pPr>
              <w:spacing w:after="20"/>
            </w:pPr>
            <w:r>
              <w:rPr>
                <w:sz w:val="16"/>
              </w:rPr>
              <w:t>who changed terms/price/seats/payout, timestamps, attempt counts and delivery status</w:t>
            </w:r>
          </w:p>
        </w:tc>
      </w:tr>
    </w:tbl>
    <w:p/>
    <w:p>
      <w:pPr>
        <w:spacing w:after="100"/>
      </w:pPr>
      <w:r>
        <w:t>All monetary amounts should be stored as integer minor currency units, ISO currency code and original tax rule version. Never reuse SQLite REAL ticket price fields for operational money. All tenant-owned records must include supplier_id and be filtered server-side.</w:t>
      </w:r>
    </w:p>
    <w:p>
      <w:pPr>
        <w:pStyle w:val="Heading2"/>
        <w:keepNext/>
        <w:spacing w:before="240"/>
      </w:pPr>
      <w:r>
        <w:t>65. Reference SQL — dual-mode offers, inventory, immutable quotes</w:t>
      </w:r>
    </w:p>
    <w:p>
      <w:pPr>
        <w:spacing w:after="0" w:line="240" w:lineRule="auto"/>
        <w:ind w:left="202" w:right="115"/>
      </w:pPr>
      <w:r>
        <w:rPr>
          <w:rFonts w:ascii="Consolas" w:hAnsi="Consolas"/>
          <w:color w:val="2A4350"/>
          <w:sz w:val="15"/>
        </w:rPr>
        <w:t>-- PostgreSQL reference; adapt naming, types and tenancy before production.</w:t>
      </w:r>
    </w:p>
    <w:p>
      <w:pPr>
        <w:spacing w:after="0" w:line="240" w:lineRule="auto"/>
        <w:ind w:left="202" w:right="115"/>
      </w:pPr>
      <w:r>
        <w:rPr>
          <w:rFonts w:ascii="Consolas" w:hAnsi="Consolas"/>
          <w:color w:val="2A4350"/>
          <w:sz w:val="15"/>
        </w:rPr>
        <w:t>CREATE TYPE trip_sale_model AS ENUM ('MARKETPLACE','RESELLER');</w:t>
      </w:r>
    </w:p>
    <w:p>
      <w:pPr>
        <w:spacing w:after="0" w:line="240" w:lineRule="auto"/>
        <w:ind w:left="202" w:right="115"/>
      </w:pPr>
      <w:r>
        <w:rPr>
          <w:rFonts w:ascii="Consolas" w:hAnsi="Consolas"/>
          <w:color w:val="2A4350"/>
          <w:sz w:val="15"/>
        </w:rPr>
        <w:t>CREATE TABLE suppliers (</w:t>
      </w:r>
    </w:p>
    <w:p>
      <w:pPr>
        <w:spacing w:after="0" w:line="240" w:lineRule="auto"/>
        <w:ind w:left="202" w:right="115"/>
      </w:pPr>
      <w:r>
        <w:rPr>
          <w:rFonts w:ascii="Consolas" w:hAnsi="Consolas"/>
          <w:color w:val="2A4350"/>
          <w:sz w:val="15"/>
        </w:rPr>
        <w:t xml:space="preserve">  id uuid PRIMARY KEY, legal_name text NOT NULL,</w:t>
      </w:r>
    </w:p>
    <w:p>
      <w:pPr>
        <w:spacing w:after="0" w:line="240" w:lineRule="auto"/>
        <w:ind w:left="202" w:right="115"/>
      </w:pPr>
      <w:r>
        <w:rPr>
          <w:rFonts w:ascii="Consolas" w:hAnsi="Consolas"/>
          <w:color w:val="2A4350"/>
          <w:sz w:val="15"/>
        </w:rPr>
        <w:t xml:space="preserve">  verification_status text NOT NULL, payout_account_ref text</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CREATE TABLE supplier_contracts (</w:t>
      </w:r>
    </w:p>
    <w:p>
      <w:pPr>
        <w:spacing w:after="0" w:line="240" w:lineRule="auto"/>
        <w:ind w:left="202" w:right="115"/>
      </w:pPr>
      <w:r>
        <w:rPr>
          <w:rFonts w:ascii="Consolas" w:hAnsi="Consolas"/>
          <w:color w:val="2A4350"/>
          <w:sz w:val="15"/>
        </w:rPr>
        <w:t xml:space="preserve">  id uuid PRIMARY KEY, supplier_id uuid NOT NULL REFERENCES suppliers(id),</w:t>
      </w:r>
    </w:p>
    <w:p>
      <w:pPr>
        <w:spacing w:after="0" w:line="240" w:lineRule="auto"/>
        <w:ind w:left="202" w:right="115"/>
      </w:pPr>
      <w:r>
        <w:rPr>
          <w:rFonts w:ascii="Consolas" w:hAnsi="Consolas"/>
          <w:color w:val="2A4350"/>
          <w:sz w:val="15"/>
        </w:rPr>
        <w:t xml:space="preserve">  sale_model trip_sale_model NOT NULL, status text NOT NULL,</w:t>
      </w:r>
    </w:p>
    <w:p>
      <w:pPr>
        <w:spacing w:after="0" w:line="240" w:lineRule="auto"/>
        <w:ind w:left="202" w:right="115"/>
      </w:pPr>
      <w:r>
        <w:rPr>
          <w:rFonts w:ascii="Consolas" w:hAnsi="Consolas"/>
          <w:color w:val="2A4350"/>
          <w:sz w:val="15"/>
        </w:rPr>
        <w:t xml:space="preserve">  valid_from timestamptz NOT NULL, valid_until timestamptz,</w:t>
      </w:r>
    </w:p>
    <w:p>
      <w:pPr>
        <w:spacing w:after="0" w:line="240" w:lineRule="auto"/>
        <w:ind w:left="202" w:right="115"/>
      </w:pPr>
      <w:r>
        <w:rPr>
          <w:rFonts w:ascii="Consolas" w:hAnsi="Consolas"/>
          <w:color w:val="2A4350"/>
          <w:sz w:val="15"/>
        </w:rPr>
        <w:t xml:space="preserve">  payout_policy_json jsonb NOT NULL, terms_version int NOT NULL</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CREATE TABLE offers (</w:t>
      </w:r>
    </w:p>
    <w:p>
      <w:pPr>
        <w:spacing w:after="0" w:line="240" w:lineRule="auto"/>
        <w:ind w:left="202" w:right="115"/>
      </w:pPr>
      <w:r>
        <w:rPr>
          <w:rFonts w:ascii="Consolas" w:hAnsi="Consolas"/>
          <w:color w:val="2A4350"/>
          <w:sz w:val="15"/>
        </w:rPr>
        <w:t xml:space="preserve">  id uuid PRIMARY KEY, supplier_id uuid NOT NULL REFERENCES suppliers(id),</w:t>
      </w:r>
    </w:p>
    <w:p>
      <w:pPr>
        <w:spacing w:after="0" w:line="240" w:lineRule="auto"/>
        <w:ind w:left="202" w:right="115"/>
      </w:pPr>
      <w:r>
        <w:rPr>
          <w:rFonts w:ascii="Consolas" w:hAnsi="Consolas"/>
          <w:color w:val="2A4350"/>
          <w:sz w:val="15"/>
        </w:rPr>
        <w:t xml:space="preserve">  contract_id uuid NOT NULL REFERENCES supplier_contracts(id),</w:t>
      </w:r>
    </w:p>
    <w:p>
      <w:pPr>
        <w:spacing w:after="0" w:line="240" w:lineRule="auto"/>
        <w:ind w:left="202" w:right="115"/>
      </w:pPr>
      <w:r>
        <w:rPr>
          <w:rFonts w:ascii="Consolas" w:hAnsi="Consolas"/>
          <w:color w:val="2A4350"/>
          <w:sz w:val="15"/>
        </w:rPr>
        <w:t xml:space="preserve">  sale_model trip_sale_model NOT NULL, seller_legal_entity_id uuid NOT NULL,</w:t>
      </w:r>
    </w:p>
    <w:p>
      <w:pPr>
        <w:spacing w:after="0" w:line="240" w:lineRule="auto"/>
        <w:ind w:left="202" w:right="115"/>
      </w:pPr>
      <w:r>
        <w:rPr>
          <w:rFonts w:ascii="Consolas" w:hAnsi="Consolas"/>
          <w:color w:val="2A4350"/>
          <w:sz w:val="15"/>
        </w:rPr>
        <w:t xml:space="preserve">  title text NOT NULL, place_catalog_id bigint,</w:t>
      </w:r>
    </w:p>
    <w:p>
      <w:pPr>
        <w:spacing w:after="0" w:line="240" w:lineRule="auto"/>
        <w:ind w:left="202" w:right="115"/>
      </w:pPr>
      <w:r>
        <w:rPr>
          <w:rFonts w:ascii="Consolas" w:hAnsi="Consolas"/>
          <w:color w:val="2A4350"/>
          <w:sz w:val="15"/>
        </w:rPr>
        <w:t xml:space="preserve">  status text NOT NULL, published_at timestamptz</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CREATE TABLE departures (</w:t>
      </w:r>
    </w:p>
    <w:p>
      <w:pPr>
        <w:spacing w:after="0" w:line="240" w:lineRule="auto"/>
        <w:ind w:left="202" w:right="115"/>
      </w:pPr>
      <w:r>
        <w:rPr>
          <w:rFonts w:ascii="Consolas" w:hAnsi="Consolas"/>
          <w:color w:val="2A4350"/>
          <w:sz w:val="15"/>
        </w:rPr>
        <w:t xml:space="preserve">  id uuid PRIMARY KEY, offer_id uuid NOT NULL REFERENCES offers(id),</w:t>
      </w:r>
    </w:p>
    <w:p>
      <w:pPr>
        <w:spacing w:after="0" w:line="240" w:lineRule="auto"/>
        <w:ind w:left="202" w:right="115"/>
      </w:pPr>
      <w:r>
        <w:rPr>
          <w:rFonts w:ascii="Consolas" w:hAnsi="Consolas"/>
          <w:color w:val="2A4350"/>
          <w:sz w:val="15"/>
        </w:rPr>
        <w:t xml:space="preserve">  starts_at timestamptz NOT NULL, capacity int NOT NULL CHECK(capacity&gt;=0),</w:t>
      </w:r>
    </w:p>
    <w:p>
      <w:pPr>
        <w:spacing w:after="0" w:line="240" w:lineRule="auto"/>
        <w:ind w:left="202" w:right="115"/>
      </w:pPr>
      <w:r>
        <w:rPr>
          <w:rFonts w:ascii="Consolas" w:hAnsi="Consolas"/>
          <w:color w:val="2A4350"/>
          <w:sz w:val="15"/>
        </w:rPr>
        <w:t xml:space="preserve">  confirmed int NOT NULL DEFAULT 0 CHECK(confirmed&gt;=0),</w:t>
      </w:r>
    </w:p>
    <w:p>
      <w:pPr>
        <w:spacing w:after="0" w:line="240" w:lineRule="auto"/>
        <w:ind w:left="202" w:right="115"/>
      </w:pPr>
      <w:r>
        <w:rPr>
          <w:rFonts w:ascii="Consolas" w:hAnsi="Consolas"/>
          <w:color w:val="2A4350"/>
          <w:sz w:val="15"/>
        </w:rPr>
        <w:t xml:space="preserve">  held int NOT NULL DEFAULT 0 CHECK(held&gt;=0),</w:t>
      </w:r>
    </w:p>
    <w:p>
      <w:pPr>
        <w:spacing w:after="0" w:line="240" w:lineRule="auto"/>
        <w:ind w:left="202" w:right="115"/>
      </w:pPr>
      <w:r>
        <w:rPr>
          <w:rFonts w:ascii="Consolas" w:hAnsi="Consolas"/>
          <w:color w:val="2A4350"/>
          <w:sz w:val="15"/>
        </w:rPr>
        <w:t xml:space="preserve">  source_mode text NOT NULL, version bigint NOT NULL DEFAULT 1,</w:t>
      </w:r>
    </w:p>
    <w:p>
      <w:pPr>
        <w:spacing w:after="0" w:line="240" w:lineRule="auto"/>
        <w:ind w:left="202" w:right="115"/>
      </w:pPr>
      <w:r>
        <w:rPr>
          <w:rFonts w:ascii="Consolas" w:hAnsi="Consolas"/>
          <w:color w:val="2A4350"/>
          <w:sz w:val="15"/>
        </w:rPr>
        <w:t xml:space="preserve">  CHECK(confirmed + held &lt;= capacity)</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CREATE TABLE price_quotes (</w:t>
      </w:r>
    </w:p>
    <w:p>
      <w:pPr>
        <w:spacing w:after="0" w:line="240" w:lineRule="auto"/>
        <w:ind w:left="202" w:right="115"/>
      </w:pPr>
      <w:r>
        <w:rPr>
          <w:rFonts w:ascii="Consolas" w:hAnsi="Consolas"/>
          <w:color w:val="2A4350"/>
          <w:sz w:val="15"/>
        </w:rPr>
        <w:t xml:space="preserve">  id uuid PRIMARY KEY, departure_id uuid NOT NULL REFERENCES departures(id),</w:t>
      </w:r>
    </w:p>
    <w:p>
      <w:pPr>
        <w:spacing w:after="0" w:line="240" w:lineRule="auto"/>
        <w:ind w:left="202" w:right="115"/>
      </w:pPr>
      <w:r>
        <w:rPr>
          <w:rFonts w:ascii="Consolas" w:hAnsi="Consolas"/>
          <w:color w:val="2A4350"/>
          <w:sz w:val="15"/>
        </w:rPr>
        <w:t xml:space="preserve">  sale_model trip_sale_model NOT NULL, contract_id uuid NOT NULL,</w:t>
      </w:r>
    </w:p>
    <w:p>
      <w:pPr>
        <w:spacing w:after="0" w:line="240" w:lineRule="auto"/>
        <w:ind w:left="202" w:right="115"/>
      </w:pPr>
      <w:r>
        <w:rPr>
          <w:rFonts w:ascii="Consolas" w:hAnsi="Consolas"/>
          <w:color w:val="2A4350"/>
          <w:sz w:val="15"/>
        </w:rPr>
        <w:t xml:space="preserve">  currency char(3) NOT NULL, package_base_minor bigint NOT NULL,</w:t>
      </w:r>
    </w:p>
    <w:p>
      <w:pPr>
        <w:spacing w:after="0" w:line="240" w:lineRule="auto"/>
        <w:ind w:left="202" w:right="115"/>
      </w:pPr>
      <w:r>
        <w:rPr>
          <w:rFonts w:ascii="Consolas" w:hAnsi="Consolas"/>
          <w:color w:val="2A4350"/>
          <w:sz w:val="15"/>
        </w:rPr>
        <w:t xml:space="preserve">  package_tax_minor bigint NOT NULL, service_fee_minor bigint NOT NULL,</w:t>
      </w:r>
    </w:p>
    <w:p>
      <w:pPr>
        <w:spacing w:after="0" w:line="240" w:lineRule="auto"/>
        <w:ind w:left="202" w:right="115"/>
      </w:pPr>
      <w:r>
        <w:rPr>
          <w:rFonts w:ascii="Consolas" w:hAnsi="Consolas"/>
          <w:color w:val="2A4350"/>
          <w:sz w:val="15"/>
        </w:rPr>
        <w:t xml:space="preserve">  service_tax_minor bigint NOT NULL, discount_minor bigint NOT NULL,</w:t>
      </w:r>
    </w:p>
    <w:p>
      <w:pPr>
        <w:spacing w:after="0" w:line="240" w:lineRule="auto"/>
        <w:ind w:left="202" w:right="115"/>
      </w:pPr>
      <w:r>
        <w:rPr>
          <w:rFonts w:ascii="Consolas" w:hAnsi="Consolas"/>
          <w:color w:val="2A4350"/>
          <w:sz w:val="15"/>
        </w:rPr>
        <w:t xml:space="preserve">  customer_total_minor bigint NOT NULL CHECK(customer_total_minor&gt;=0),</w:t>
      </w:r>
    </w:p>
    <w:p>
      <w:pPr>
        <w:spacing w:after="0" w:line="240" w:lineRule="auto"/>
        <w:ind w:left="202" w:right="115"/>
      </w:pPr>
      <w:r>
        <w:rPr>
          <w:rFonts w:ascii="Consolas" w:hAnsi="Consolas"/>
          <w:color w:val="2A4350"/>
          <w:sz w:val="15"/>
        </w:rPr>
        <w:t xml:space="preserve">  breakdown_json jsonb NOT NULL, rules_version text NOT NULL,</w:t>
      </w:r>
    </w:p>
    <w:p>
      <w:pPr>
        <w:spacing w:after="0" w:line="240" w:lineRule="auto"/>
        <w:ind w:left="202" w:right="115"/>
      </w:pPr>
      <w:r>
        <w:rPr>
          <w:rFonts w:ascii="Consolas" w:hAnsi="Consolas"/>
          <w:color w:val="2A4350"/>
          <w:sz w:val="15"/>
        </w:rPr>
        <w:t xml:space="preserve">  expires_at timestamptz NOT NULL, accepted_at timestamptz</w:t>
      </w:r>
    </w:p>
    <w:p>
      <w:pPr>
        <w:spacing w:after="0" w:line="240" w:lineRule="auto"/>
        <w:ind w:left="202" w:right="115"/>
      </w:pPr>
      <w:r>
        <w:rPr>
          <w:rFonts w:ascii="Consolas" w:hAnsi="Consolas"/>
          <w:color w:val="2A4350"/>
          <w:sz w:val="15"/>
        </w:rPr>
        <w:t>);</w:t>
      </w:r>
    </w:p>
    <w:p>
      <w:pPr>
        <w:spacing w:after="0" w:line="240" w:lineRule="auto"/>
        <w:ind w:left="202" w:right="115"/>
      </w:pPr>
      <w:r>
        <w:rPr>
          <w:rFonts w:ascii="Consolas" w:hAnsi="Consolas"/>
          <w:color w:val="2A4350"/>
          <w:sz w:val="15"/>
        </w:rPr>
        <w:t>CREATE TABLE seat_holds (</w:t>
      </w:r>
    </w:p>
    <w:p>
      <w:pPr>
        <w:spacing w:after="0" w:line="240" w:lineRule="auto"/>
        <w:ind w:left="202" w:right="115"/>
      </w:pPr>
      <w:r>
        <w:rPr>
          <w:rFonts w:ascii="Consolas" w:hAnsi="Consolas"/>
          <w:color w:val="2A4350"/>
          <w:sz w:val="15"/>
        </w:rPr>
        <w:t xml:space="preserve">  id uuid PRIMARY KEY, departure_id uuid NOT NULL REFERENCES departures(id),</w:t>
      </w:r>
    </w:p>
    <w:p>
      <w:pPr>
        <w:spacing w:after="0" w:line="240" w:lineRule="auto"/>
        <w:ind w:left="202" w:right="115"/>
      </w:pPr>
      <w:r>
        <w:rPr>
          <w:rFonts w:ascii="Consolas" w:hAnsi="Consolas"/>
          <w:color w:val="2A4350"/>
          <w:sz w:val="15"/>
        </w:rPr>
        <w:t xml:space="preserve">  quote_id uuid NOT NULL UNIQUE REFERENCES price_quotes(id),</w:t>
      </w:r>
    </w:p>
    <w:p>
      <w:pPr>
        <w:spacing w:after="0" w:line="240" w:lineRule="auto"/>
        <w:ind w:left="202" w:right="115"/>
      </w:pPr>
      <w:r>
        <w:rPr>
          <w:rFonts w:ascii="Consolas" w:hAnsi="Consolas"/>
          <w:color w:val="2A4350"/>
          <w:sz w:val="15"/>
        </w:rPr>
        <w:t xml:space="preserve">  seats int NOT NULL CHECK(seats&gt;0), status text NOT NULL,</w:t>
      </w:r>
    </w:p>
    <w:p>
      <w:pPr>
        <w:spacing w:after="0" w:line="240" w:lineRule="auto"/>
        <w:ind w:left="202" w:right="115"/>
      </w:pPr>
      <w:r>
        <w:rPr>
          <w:rFonts w:ascii="Consolas" w:hAnsi="Consolas"/>
          <w:color w:val="2A4350"/>
          <w:sz w:val="15"/>
        </w:rPr>
        <w:t xml:space="preserve">  expires_at timestamptz NOT NULL, idempotency_key text UNIQUE NOT NULL</w:t>
      </w:r>
    </w:p>
    <w:p>
      <w:pPr>
        <w:spacing w:after="0" w:line="240" w:lineRule="auto"/>
        <w:ind w:left="202" w:right="115"/>
      </w:pPr>
      <w:r>
        <w:rPr>
          <w:rFonts w:ascii="Consolas" w:hAnsi="Consolas"/>
          <w:color w:val="2A4350"/>
          <w:sz w:val="15"/>
        </w:rPr>
        <w:t>);</w:t>
      </w:r>
    </w:p>
    <w:p/>
    <w:p>
      <w:pPr>
        <w:spacing w:after="100"/>
      </w:pPr>
      <w:r>
        <w:t>The contract/sale_model agreement must be checked in application code or database triggers when offers are published. Accepted quotes and confirmed bookings are append-only for amounts; changes generate adjustments. A real production migration also needs identity/users, multi-traveler passengers, ledger postings, invoice numbering, applicable check constraints, tenant RLS and currency-exponent handling.</w:t>
      </w:r>
    </w:p>
    <w:p>
      <w:pPr>
        <w:pStyle w:val="Heading2"/>
        <w:keepNext/>
        <w:spacing w:before="240"/>
      </w:pPr>
      <w:r>
        <w:t>66. Booking transaction and concurrency: no overselling</w:t>
      </w:r>
    </w:p>
    <w:p>
      <w:pPr>
        <w:spacing w:after="0" w:line="240" w:lineRule="auto"/>
        <w:ind w:left="202" w:right="115"/>
      </w:pPr>
      <w:r>
        <w:rPr>
          <w:rFonts w:ascii="Consolas" w:hAnsi="Consolas"/>
          <w:color w:val="2A4350"/>
          <w:sz w:val="15"/>
        </w:rPr>
        <w:t>BEGIN;</w:t>
      </w:r>
    </w:p>
    <w:p>
      <w:pPr>
        <w:spacing w:after="0" w:line="240" w:lineRule="auto"/>
        <w:ind w:left="202" w:right="115"/>
      </w:pPr>
      <w:r>
        <w:rPr>
          <w:rFonts w:ascii="Consolas" w:hAnsi="Consolas"/>
          <w:color w:val="2A4350"/>
          <w:sz w:val="15"/>
        </w:rPr>
        <w:t>SELECT capacity, confirmed, held, version</w:t>
      </w:r>
    </w:p>
    <w:p>
      <w:pPr>
        <w:spacing w:after="0" w:line="240" w:lineRule="auto"/>
        <w:ind w:left="202" w:right="115"/>
      </w:pPr>
      <w:r>
        <w:rPr>
          <w:rFonts w:ascii="Consolas" w:hAnsi="Consolas"/>
          <w:color w:val="2A4350"/>
          <w:sz w:val="15"/>
        </w:rPr>
        <w:t>FROM departures WHERE id = :departure_id FOR UPDATE;</w:t>
      </w:r>
    </w:p>
    <w:p>
      <w:pPr>
        <w:spacing w:after="0" w:line="240" w:lineRule="auto"/>
        <w:ind w:left="202" w:right="115"/>
      </w:pPr>
      <w:r>
        <w:rPr>
          <w:rFonts w:ascii="Consolas" w:hAnsi="Consolas"/>
          <w:color w:val="2A4350"/>
          <w:sz w:val="15"/>
        </w:rPr>
        <w:t>-- Reject when capacity - confirmed - held &lt; requested_seats.</w:t>
      </w:r>
    </w:p>
    <w:p>
      <w:pPr>
        <w:spacing w:after="0" w:line="240" w:lineRule="auto"/>
        <w:ind w:left="202" w:right="115"/>
      </w:pPr>
      <w:r>
        <w:rPr>
          <w:rFonts w:ascii="Consolas" w:hAnsi="Consolas"/>
          <w:color w:val="2A4350"/>
          <w:sz w:val="15"/>
        </w:rPr>
        <w:t>UPDATE departures SET held=held+:requested_seats, version=version+1</w:t>
      </w:r>
    </w:p>
    <w:p>
      <w:pPr>
        <w:spacing w:after="0" w:line="240" w:lineRule="auto"/>
        <w:ind w:left="202" w:right="115"/>
      </w:pPr>
      <w:r>
        <w:rPr>
          <w:rFonts w:ascii="Consolas" w:hAnsi="Consolas"/>
          <w:color w:val="2A4350"/>
          <w:sz w:val="15"/>
        </w:rPr>
        <w:t>WHERE id=:departure_id;</w:t>
      </w:r>
    </w:p>
    <w:p>
      <w:pPr>
        <w:spacing w:after="0" w:line="240" w:lineRule="auto"/>
        <w:ind w:left="202" w:right="115"/>
      </w:pPr>
      <w:r>
        <w:rPr>
          <w:rFonts w:ascii="Consolas" w:hAnsi="Consolas"/>
          <w:color w:val="2A4350"/>
          <w:sz w:val="15"/>
        </w:rPr>
        <w:t>INSERT INTO seat_holds (id, departure_id, quote_id, seats,</w:t>
      </w:r>
    </w:p>
    <w:p>
      <w:pPr>
        <w:spacing w:after="0" w:line="240" w:lineRule="auto"/>
        <w:ind w:left="202" w:right="115"/>
      </w:pPr>
      <w:r>
        <w:rPr>
          <w:rFonts w:ascii="Consolas" w:hAnsi="Consolas"/>
          <w:color w:val="2A4350"/>
          <w:sz w:val="15"/>
        </w:rPr>
        <w:t xml:space="preserve">    status, expires_at, idempotency_key)</w:t>
      </w:r>
    </w:p>
    <w:p>
      <w:pPr>
        <w:spacing w:after="0" w:line="240" w:lineRule="auto"/>
        <w:ind w:left="202" w:right="115"/>
      </w:pPr>
      <w:r>
        <w:rPr>
          <w:rFonts w:ascii="Consolas" w:hAnsi="Consolas"/>
          <w:color w:val="2A4350"/>
          <w:sz w:val="15"/>
        </w:rPr>
        <w:t>VALUES (:id,:departure_id,:quote_id,:requested_seats,</w:t>
      </w:r>
    </w:p>
    <w:p>
      <w:pPr>
        <w:spacing w:after="0" w:line="240" w:lineRule="auto"/>
        <w:ind w:left="202" w:right="115"/>
      </w:pPr>
      <w:r>
        <w:rPr>
          <w:rFonts w:ascii="Consolas" w:hAnsi="Consolas"/>
          <w:color w:val="2A4350"/>
          <w:sz w:val="15"/>
        </w:rPr>
        <w:t xml:space="preserve">    'active',:expires_at,:key);</w:t>
      </w:r>
    </w:p>
    <w:p>
      <w:pPr>
        <w:spacing w:after="0" w:line="240" w:lineRule="auto"/>
        <w:ind w:left="202" w:right="115"/>
      </w:pPr>
      <w:r>
        <w:rPr>
          <w:rFonts w:ascii="Consolas" w:hAnsi="Consolas"/>
          <w:color w:val="2A4350"/>
          <w:sz w:val="15"/>
        </w:rPr>
        <w:t>COMMIT;</w:t>
      </w:r>
    </w:p>
    <w:p>
      <w:pPr>
        <w:spacing w:after="0" w:line="240" w:lineRule="auto"/>
        <w:ind w:left="202" w:right="115"/>
      </w:pPr>
      <w:r>
        <w:rPr>
          <w:rFonts w:ascii="Consolas" w:hAnsi="Consolas"/>
          <w:color w:val="2A4350"/>
          <w:sz w:val="15"/>
        </w:rPr>
        <w:t>-- Expirer locks same row, transitions active -&gt; expired once,</w:t>
      </w:r>
    </w:p>
    <w:p>
      <w:pPr>
        <w:spacing w:after="0" w:line="240" w:lineRule="auto"/>
        <w:ind w:left="202" w:right="115"/>
      </w:pPr>
      <w:r>
        <w:rPr>
          <w:rFonts w:ascii="Consolas" w:hAnsi="Consolas"/>
          <w:color w:val="2A4350"/>
          <w:sz w:val="15"/>
        </w:rPr>
        <w:t>-- and decrements held atomically. Payment completion races are guarded.</w:t>
      </w:r>
    </w:p>
    <w:p/>
    <w:p>
      <w:pPr>
        <w:spacing w:after="100"/>
      </w:pPr>
      <w:r>
        <w:t>Confirmation transaction: with departure row locked, find active unexpired hold; set hold confirmed, decrement held and increment confirmed exactly once; create immutable booking financial snapshots. A booking may be marked CONFIRMED only after payment and supplier confirmation (or allocated inventory contract). If funds capture but supplier rejects, create refund workflow; do not silently treat it as confirmed.</w:t>
      </w:r>
    </w:p>
    <w:p>
      <w:pPr>
        <w:pStyle w:val="Heading2"/>
        <w:keepNext/>
        <w:spacing w:before="240"/>
      </w:pPr>
      <w:r>
        <w:t>67. Endpoint design and access control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HTTP endpoint</w:t>
            </w:r>
          </w:p>
        </w:tc>
        <w:tc>
          <w:tcPr>
            <w:tcW w:type="dxa" w:w="3331"/>
            <w:shd w:fill="164A60"/>
          </w:tcPr>
          <w:p>
            <w:r>
              <w:rPr>
                <w:b/>
                <w:color w:val="FFFFFF"/>
                <w:sz w:val="16"/>
              </w:rPr>
              <w:t>Role</w:t>
            </w:r>
          </w:p>
        </w:tc>
        <w:tc>
          <w:tcPr>
            <w:tcW w:type="dxa" w:w="3331"/>
            <w:shd w:fill="164A60"/>
          </w:tcPr>
          <w:p>
            <w:r>
              <w:rPr>
                <w:b/>
                <w:color w:val="FFFFFF"/>
                <w:sz w:val="16"/>
              </w:rPr>
              <w:t>Purpose</w:t>
            </w:r>
          </w:p>
        </w:tc>
      </w:tr>
      <w:tr>
        <w:tc>
          <w:tcPr>
            <w:tcW w:type="dxa" w:w="3331"/>
            <w:vAlign w:val="center"/>
          </w:tcPr>
          <w:p>
            <w:pPr>
              <w:spacing w:after="20"/>
            </w:pPr>
            <w:r>
              <w:rPr>
                <w:sz w:val="16"/>
              </w:rPr>
              <w:t>POST /v1/partners/apply</w:t>
            </w:r>
          </w:p>
        </w:tc>
        <w:tc>
          <w:tcPr>
            <w:tcW w:type="dxa" w:w="3331"/>
            <w:vAlign w:val="center"/>
          </w:tcPr>
          <w:p>
            <w:pPr>
              <w:spacing w:after="20"/>
            </w:pPr>
            <w:r>
              <w:rPr>
                <w:sz w:val="16"/>
              </w:rPr>
              <w:t>Supplier applicant</w:t>
            </w:r>
          </w:p>
        </w:tc>
        <w:tc>
          <w:tcPr>
            <w:tcW w:type="dxa" w:w="3331"/>
            <w:vAlign w:val="center"/>
          </w:tcPr>
          <w:p>
            <w:pPr>
              <w:spacing w:after="20"/>
            </w:pPr>
            <w:r>
              <w:rPr>
                <w:sz w:val="16"/>
              </w:rPr>
              <w:t>Start business verification</w:t>
            </w:r>
          </w:p>
        </w:tc>
      </w:tr>
      <w:tr>
        <w:tc>
          <w:tcPr>
            <w:tcW w:type="dxa" w:w="3331"/>
            <w:vAlign w:val="center"/>
            <w:shd w:fill="F0F5F7"/>
          </w:tcPr>
          <w:p>
            <w:pPr>
              <w:spacing w:after="20"/>
            </w:pPr>
            <w:r>
              <w:rPr>
                <w:sz w:val="16"/>
              </w:rPr>
              <w:t>POST /v1/partners/offers</w:t>
            </w:r>
          </w:p>
        </w:tc>
        <w:tc>
          <w:tcPr>
            <w:tcW w:type="dxa" w:w="3331"/>
            <w:vAlign w:val="center"/>
            <w:shd w:fill="F0F5F7"/>
          </w:tcPr>
          <w:p>
            <w:pPr>
              <w:spacing w:after="20"/>
            </w:pPr>
            <w:r>
              <w:rPr>
                <w:sz w:val="16"/>
              </w:rPr>
              <w:t>Verified supplier</w:t>
            </w:r>
          </w:p>
        </w:tc>
        <w:tc>
          <w:tcPr>
            <w:tcW w:type="dxa" w:w="3331"/>
            <w:vAlign w:val="center"/>
            <w:shd w:fill="F0F5F7"/>
          </w:tcPr>
          <w:p>
            <w:pPr>
              <w:spacing w:after="20"/>
            </w:pPr>
            <w:r>
              <w:rPr>
                <w:sz w:val="16"/>
              </w:rPr>
              <w:t>Publish after review; lock sale_model</w:t>
            </w:r>
          </w:p>
        </w:tc>
      </w:tr>
      <w:tr>
        <w:tc>
          <w:tcPr>
            <w:tcW w:type="dxa" w:w="3331"/>
            <w:vAlign w:val="center"/>
          </w:tcPr>
          <w:p>
            <w:pPr>
              <w:spacing w:after="20"/>
            </w:pPr>
            <w:r>
              <w:rPr>
                <w:sz w:val="16"/>
              </w:rPr>
              <w:t>PATCH /v1/partners/departures/{id}</w:t>
            </w:r>
          </w:p>
        </w:tc>
        <w:tc>
          <w:tcPr>
            <w:tcW w:type="dxa" w:w="3331"/>
            <w:vAlign w:val="center"/>
          </w:tcPr>
          <w:p>
            <w:pPr>
              <w:spacing w:after="20"/>
            </w:pPr>
            <w:r>
              <w:rPr>
                <w:sz w:val="16"/>
              </w:rPr>
              <w:t>Verified supplier of offer</w:t>
            </w:r>
          </w:p>
        </w:tc>
        <w:tc>
          <w:tcPr>
            <w:tcW w:type="dxa" w:w="3331"/>
            <w:vAlign w:val="center"/>
          </w:tcPr>
          <w:p>
            <w:pPr>
              <w:spacing w:after="20"/>
            </w:pPr>
            <w:r>
              <w:rPr>
                <w:sz w:val="16"/>
              </w:rPr>
              <w:t>Update price/inventory within contract limits</w:t>
            </w:r>
          </w:p>
        </w:tc>
      </w:tr>
      <w:tr>
        <w:tc>
          <w:tcPr>
            <w:tcW w:type="dxa" w:w="3331"/>
            <w:vAlign w:val="center"/>
            <w:shd w:fill="F0F5F7"/>
          </w:tcPr>
          <w:p>
            <w:pPr>
              <w:spacing w:after="20"/>
            </w:pPr>
            <w:r>
              <w:rPr>
                <w:sz w:val="16"/>
              </w:rPr>
              <w:t>GET /v1/offers/{id}/departures</w:t>
            </w:r>
          </w:p>
        </w:tc>
        <w:tc>
          <w:tcPr>
            <w:tcW w:type="dxa" w:w="3331"/>
            <w:vAlign w:val="center"/>
            <w:shd w:fill="F0F5F7"/>
          </w:tcPr>
          <w:p>
            <w:pPr>
              <w:spacing w:after="20"/>
            </w:pPr>
            <w:r>
              <w:rPr>
                <w:sz w:val="16"/>
              </w:rPr>
              <w:t>Public</w:t>
            </w:r>
          </w:p>
        </w:tc>
        <w:tc>
          <w:tcPr>
            <w:tcW w:type="dxa" w:w="3331"/>
            <w:vAlign w:val="center"/>
            <w:shd w:fill="F0F5F7"/>
          </w:tcPr>
          <w:p>
            <w:pPr>
              <w:spacing w:after="20"/>
            </w:pPr>
            <w:r>
              <w:rPr>
                <w:sz w:val="16"/>
              </w:rPr>
              <w:t>Search real prices + provenance + source mode</w:t>
            </w:r>
          </w:p>
        </w:tc>
      </w:tr>
      <w:tr>
        <w:tc>
          <w:tcPr>
            <w:tcW w:type="dxa" w:w="3331"/>
            <w:vAlign w:val="center"/>
          </w:tcPr>
          <w:p>
            <w:pPr>
              <w:spacing w:after="20"/>
            </w:pPr>
            <w:r>
              <w:rPr>
                <w:sz w:val="16"/>
              </w:rPr>
              <w:t>POST /v1/checkout/quotes</w:t>
            </w:r>
          </w:p>
        </w:tc>
        <w:tc>
          <w:tcPr>
            <w:tcW w:type="dxa" w:w="3331"/>
            <w:vAlign w:val="center"/>
          </w:tcPr>
          <w:p>
            <w:pPr>
              <w:spacing w:after="20"/>
            </w:pPr>
            <w:r>
              <w:rPr>
                <w:sz w:val="16"/>
              </w:rPr>
              <w:t>Customer</w:t>
            </w:r>
          </w:p>
        </w:tc>
        <w:tc>
          <w:tcPr>
            <w:tcW w:type="dxa" w:w="3331"/>
            <w:vAlign w:val="center"/>
          </w:tcPr>
          <w:p>
            <w:pPr>
              <w:spacing w:after="20"/>
            </w:pPr>
            <w:r>
              <w:rPr>
                <w:sz w:val="16"/>
              </w:rPr>
              <w:t>Create server-priced immutable quote</w:t>
            </w:r>
          </w:p>
        </w:tc>
      </w:tr>
      <w:tr>
        <w:tc>
          <w:tcPr>
            <w:tcW w:type="dxa" w:w="3331"/>
            <w:vAlign w:val="center"/>
            <w:shd w:fill="F0F5F7"/>
          </w:tcPr>
          <w:p>
            <w:pPr>
              <w:spacing w:after="20"/>
            </w:pPr>
            <w:r>
              <w:rPr>
                <w:sz w:val="16"/>
              </w:rPr>
              <w:t>POST /v1/checkout/holds</w:t>
            </w:r>
          </w:p>
        </w:tc>
        <w:tc>
          <w:tcPr>
            <w:tcW w:type="dxa" w:w="3331"/>
            <w:vAlign w:val="center"/>
            <w:shd w:fill="F0F5F7"/>
          </w:tcPr>
          <w:p>
            <w:pPr>
              <w:spacing w:after="20"/>
            </w:pPr>
            <w:r>
              <w:rPr>
                <w:sz w:val="16"/>
              </w:rPr>
              <w:t>Customer</w:t>
            </w:r>
          </w:p>
        </w:tc>
        <w:tc>
          <w:tcPr>
            <w:tcW w:type="dxa" w:w="3331"/>
            <w:vAlign w:val="center"/>
            <w:shd w:fill="F0F5F7"/>
          </w:tcPr>
          <w:p>
            <w:pPr>
              <w:spacing w:after="20"/>
            </w:pPr>
            <w:r>
              <w:rPr>
                <w:sz w:val="16"/>
              </w:rPr>
              <w:t>Atomic hold of allowed inventory</w:t>
            </w:r>
          </w:p>
        </w:tc>
      </w:tr>
      <w:tr>
        <w:tc>
          <w:tcPr>
            <w:tcW w:type="dxa" w:w="3331"/>
            <w:vAlign w:val="center"/>
          </w:tcPr>
          <w:p>
            <w:pPr>
              <w:spacing w:after="20"/>
            </w:pPr>
            <w:r>
              <w:rPr>
                <w:sz w:val="16"/>
              </w:rPr>
              <w:t>POST /v1/checkout/orders</w:t>
            </w:r>
          </w:p>
        </w:tc>
        <w:tc>
          <w:tcPr>
            <w:tcW w:type="dxa" w:w="3331"/>
            <w:vAlign w:val="center"/>
          </w:tcPr>
          <w:p>
            <w:pPr>
              <w:spacing w:after="20"/>
            </w:pPr>
            <w:r>
              <w:rPr>
                <w:sz w:val="16"/>
              </w:rPr>
              <w:t>Customer</w:t>
            </w:r>
          </w:p>
        </w:tc>
        <w:tc>
          <w:tcPr>
            <w:tcW w:type="dxa" w:w="3331"/>
            <w:vAlign w:val="center"/>
          </w:tcPr>
          <w:p>
            <w:pPr>
              <w:spacing w:after="20"/>
            </w:pPr>
            <w:r>
              <w:rPr>
                <w:sz w:val="16"/>
              </w:rPr>
              <w:t>Create provider order with quote amount</w:t>
            </w:r>
          </w:p>
        </w:tc>
      </w:tr>
      <w:tr>
        <w:tc>
          <w:tcPr>
            <w:tcW w:type="dxa" w:w="3331"/>
            <w:vAlign w:val="center"/>
            <w:shd w:fill="F0F5F7"/>
          </w:tcPr>
          <w:p>
            <w:pPr>
              <w:spacing w:after="20"/>
            </w:pPr>
            <w:r>
              <w:rPr>
                <w:sz w:val="16"/>
              </w:rPr>
              <w:t>POST /v1/webhooks/payments/{provider}</w:t>
            </w:r>
          </w:p>
        </w:tc>
        <w:tc>
          <w:tcPr>
            <w:tcW w:type="dxa" w:w="3331"/>
            <w:vAlign w:val="center"/>
            <w:shd w:fill="F0F5F7"/>
          </w:tcPr>
          <w:p>
            <w:pPr>
              <w:spacing w:after="20"/>
            </w:pPr>
            <w:r>
              <w:rPr>
                <w:sz w:val="16"/>
              </w:rPr>
              <w:t>Signed gateway</w:t>
            </w:r>
          </w:p>
        </w:tc>
        <w:tc>
          <w:tcPr>
            <w:tcW w:type="dxa" w:w="3331"/>
            <w:vAlign w:val="center"/>
            <w:shd w:fill="F0F5F7"/>
          </w:tcPr>
          <w:p>
            <w:pPr>
              <w:spacing w:after="20"/>
            </w:pPr>
            <w:r>
              <w:rPr>
                <w:sz w:val="16"/>
              </w:rPr>
              <w:t>Verify raw payload, deduplicate, enqueue</w:t>
            </w:r>
          </w:p>
        </w:tc>
      </w:tr>
      <w:tr>
        <w:tc>
          <w:tcPr>
            <w:tcW w:type="dxa" w:w="3331"/>
            <w:vAlign w:val="center"/>
          </w:tcPr>
          <w:p>
            <w:pPr>
              <w:spacing w:after="20"/>
            </w:pPr>
            <w:r>
              <w:rPr>
                <w:sz w:val="16"/>
              </w:rPr>
              <w:t>POST /v1/partners/bookings/{id}/accept</w:t>
            </w:r>
          </w:p>
        </w:tc>
        <w:tc>
          <w:tcPr>
            <w:tcW w:type="dxa" w:w="3331"/>
            <w:vAlign w:val="center"/>
          </w:tcPr>
          <w:p>
            <w:pPr>
              <w:spacing w:after="20"/>
            </w:pPr>
            <w:r>
              <w:rPr>
                <w:sz w:val="16"/>
              </w:rPr>
              <w:t>Verified supplier of booking</w:t>
            </w:r>
          </w:p>
        </w:tc>
        <w:tc>
          <w:tcPr>
            <w:tcW w:type="dxa" w:w="3331"/>
            <w:vAlign w:val="center"/>
          </w:tcPr>
          <w:p>
            <w:pPr>
              <w:spacing w:after="20"/>
            </w:pPr>
            <w:r>
              <w:rPr>
                <w:sz w:val="16"/>
              </w:rPr>
              <w:t>Request-to-book confirmation</w:t>
            </w:r>
          </w:p>
        </w:tc>
      </w:tr>
      <w:tr>
        <w:tc>
          <w:tcPr>
            <w:tcW w:type="dxa" w:w="3331"/>
            <w:vAlign w:val="center"/>
            <w:shd w:fill="F0F5F7"/>
          </w:tcPr>
          <w:p>
            <w:pPr>
              <w:spacing w:after="20"/>
            </w:pPr>
            <w:r>
              <w:rPr>
                <w:sz w:val="16"/>
              </w:rPr>
              <w:t>GET /v1/partners/bookings</w:t>
            </w:r>
          </w:p>
        </w:tc>
        <w:tc>
          <w:tcPr>
            <w:tcW w:type="dxa" w:w="3331"/>
            <w:vAlign w:val="center"/>
            <w:shd w:fill="F0F5F7"/>
          </w:tcPr>
          <w:p>
            <w:pPr>
              <w:spacing w:after="20"/>
            </w:pPr>
            <w:r>
              <w:rPr>
                <w:sz w:val="16"/>
              </w:rPr>
              <w:t>Verified supplier</w:t>
            </w:r>
          </w:p>
        </w:tc>
        <w:tc>
          <w:tcPr>
            <w:tcW w:type="dxa" w:w="3331"/>
            <w:vAlign w:val="center"/>
            <w:shd w:fill="F0F5F7"/>
          </w:tcPr>
          <w:p>
            <w:pPr>
              <w:spacing w:after="20"/>
            </w:pPr>
            <w:r>
              <w:rPr>
                <w:sz w:val="16"/>
              </w:rPr>
              <w:t>Only its own bookings</w:t>
            </w:r>
          </w:p>
        </w:tc>
      </w:tr>
      <w:tr>
        <w:tc>
          <w:tcPr>
            <w:tcW w:type="dxa" w:w="3331"/>
            <w:vAlign w:val="center"/>
          </w:tcPr>
          <w:p>
            <w:pPr>
              <w:spacing w:after="20"/>
            </w:pPr>
            <w:r>
              <w:rPr>
                <w:sz w:val="16"/>
              </w:rPr>
              <w:t>GET /v1/partners/payouts</w:t>
            </w:r>
          </w:p>
        </w:tc>
        <w:tc>
          <w:tcPr>
            <w:tcW w:type="dxa" w:w="3331"/>
            <w:vAlign w:val="center"/>
          </w:tcPr>
          <w:p>
            <w:pPr>
              <w:spacing w:after="20"/>
            </w:pPr>
            <w:r>
              <w:rPr>
                <w:sz w:val="16"/>
              </w:rPr>
              <w:t>Verified supplier</w:t>
            </w:r>
          </w:p>
        </w:tc>
        <w:tc>
          <w:tcPr>
            <w:tcW w:type="dxa" w:w="3331"/>
            <w:vAlign w:val="center"/>
          </w:tcPr>
          <w:p>
            <w:pPr>
              <w:spacing w:after="20"/>
            </w:pPr>
            <w:r>
              <w:rPr>
                <w:sz w:val="16"/>
              </w:rPr>
              <w:t>Current status + reference/UTR</w:t>
            </w:r>
          </w:p>
        </w:tc>
      </w:tr>
      <w:tr>
        <w:tc>
          <w:tcPr>
            <w:tcW w:type="dxa" w:w="3331"/>
            <w:vAlign w:val="center"/>
            <w:shd w:fill="F0F5F7"/>
          </w:tcPr>
          <w:p>
            <w:pPr>
              <w:spacing w:after="20"/>
            </w:pPr>
            <w:r>
              <w:rPr>
                <w:sz w:val="16"/>
              </w:rPr>
              <w:t>POST /v1/admin/payouts/{id}/approve</w:t>
            </w:r>
          </w:p>
        </w:tc>
        <w:tc>
          <w:tcPr>
            <w:tcW w:type="dxa" w:w="3331"/>
            <w:vAlign w:val="center"/>
            <w:shd w:fill="F0F5F7"/>
          </w:tcPr>
          <w:p>
            <w:pPr>
              <w:spacing w:after="20"/>
            </w:pPr>
            <w:r>
              <w:rPr>
                <w:sz w:val="16"/>
              </w:rPr>
              <w:t>Privileged admin</w:t>
            </w:r>
          </w:p>
        </w:tc>
        <w:tc>
          <w:tcPr>
            <w:tcW w:type="dxa" w:w="3331"/>
            <w:vAlign w:val="center"/>
            <w:shd w:fill="F0F5F7"/>
          </w:tcPr>
          <w:p>
            <w:pPr>
              <w:spacing w:after="20"/>
            </w:pPr>
            <w:r>
              <w:rPr>
                <w:sz w:val="16"/>
              </w:rPr>
              <w:t>Dual approval for risky payouts</w:t>
            </w:r>
          </w:p>
        </w:tc>
      </w:tr>
    </w:tbl>
    <w:p/>
    <w:p>
      <w:pPr>
        <w:spacing w:after="100"/>
      </w:pPr>
      <w:r>
        <w:t>Public API errors: INVENTORY_UNAVAILABLE, QUOTE_EXPIRED, PRICE_CHANGED, SUPPLIER_PENDING, PAYMENT_PENDING, PAYMENT_CAPTURED, SUPPLIER_REJECTED, PAYOUT_PENDING, REFUND_PENDING. Every API mutator must support idempotency keys and return existing results for repeated requests.</w:t>
      </w:r>
    </w:p>
    <w:p>
      <w:pPr>
        <w:pStyle w:val="Heading2"/>
        <w:keepNext/>
        <w:spacing w:before="240"/>
      </w:pPr>
      <w:r>
        <w:t>68. Payment verification, payouts and bank reconciliation SOP</w:t>
      </w:r>
    </w:p>
    <w:p>
      <w:pPr>
        <w:pStyle w:val="ListBullet"/>
        <w:spacing w:after="40"/>
      </w:pPr>
      <w:r>
        <w:t>Checkout requests gateway order from backend using stored immutable quote total in paise, not user-supplied price.</w:t>
      </w:r>
    </w:p>
    <w:p>
      <w:pPr>
        <w:pStyle w:val="ListBullet"/>
        <w:spacing w:after="40"/>
      </w:pPr>
      <w:r>
        <w:t>Hosted provider checkout collects credentials; TripRaft never stores card number or CVV.</w:t>
      </w:r>
    </w:p>
    <w:p>
      <w:pPr>
        <w:pStyle w:val="ListBullet"/>
        <w:spacing w:after="40"/>
      </w:pPr>
      <w:r>
        <w:t>Webhook handler validates signature on RAW body, records unique event ID durably, and asynchronously fetches trusted order/payment state.</w:t>
      </w:r>
    </w:p>
    <w:p>
      <w:pPr>
        <w:pStyle w:val="ListBullet"/>
        <w:spacing w:after="40"/>
      </w:pPr>
      <w:r>
        <w:t>Backend validates gateway amount, currency, order linkage and CAPTURED/success state before setting payment PAID.</w:t>
      </w:r>
    </w:p>
    <w:p>
      <w:pPr>
        <w:pStyle w:val="ListBullet"/>
        <w:spacing w:after="40"/>
      </w:pPr>
      <w:r>
        <w:t>Inventory service secures operator confirmation and issues booking/voucher only after its own state gates.</w:t>
      </w:r>
    </w:p>
    <w:p>
      <w:pPr>
        <w:pStyle w:val="ListBullet"/>
        <w:spacing w:after="40"/>
      </w:pPr>
      <w:r>
        <w:t>Marketplace provider creates split/transfer; reseller pays supplier via approved vendor workflow.</w:t>
      </w:r>
    </w:p>
    <w:p>
      <w:pPr>
        <w:pStyle w:val="ListBullet"/>
        <w:spacing w:after="40"/>
      </w:pPr>
      <w:r>
        <w:t>Payout state advances scheduled -&gt; processing -&gt; provider-settled -&gt; bank-reconciled using settlement reports and UTR evidence.</w:t>
      </w:r>
    </w:p>
    <w:p>
      <w:pPr>
        <w:pStyle w:val="ListBullet"/>
        <w:spacing w:after="40"/>
      </w:pPr>
      <w:r>
        <w:t>Daily exceptions report flags duplicate payment events, orphan charges, long pending settlements, overpaid suppliers and aged refunds.</w:t>
      </w:r>
    </w:p>
    <w:p>
      <w:pPr>
        <w:spacing w:after="100"/>
      </w:pPr>
      <w:r>
        <w:t>If an agent needs 30% after confirmation + 70% pre-departure, model these as contract milestones, not free-form manual payments. Such schedules are only allowed if the selected provider and applicable laws permit. Money held for customers is not automatically an unrestricted TripRaft escrow balance. Provider fees must be confirmed from signed price sheets [S2][S3][S4].</w:t>
      </w:r>
    </w:p>
    <w:p>
      <w:pPr>
        <w:pStyle w:val="Heading2"/>
        <w:keepNext/>
        <w:spacing w:before="240"/>
      </w:pPr>
      <w:r>
        <w:t>69. Refunds, changes, cancellations and tax adjustments</w:t>
      </w:r>
    </w:p>
    <w:p>
      <w:pPr>
        <w:spacing w:after="100"/>
      </w:pPr>
      <w:r>
        <w:t>Every booking needs a versioned cancellation rule captured at purchase, exact supplier refund liability, platform fee refund treatment, a traveler support record, and reason code. For partial cancellation of 2 of 5 travelers, compute prorated or contract-defined supplier refund and separate tax credit-note/adjustment rules; then request provider refund once, using idempotency. If supplier has already been paid, create receivable/negative balance and suspend new disbursements as allowed. Track refund provider status and actual bank/UPI return independently.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4A60"/>
          </w:tcPr>
          <w:p>
            <w:r>
              <w:rPr>
                <w:b/>
                <w:color w:val="FFFFFF"/>
                <w:sz w:val="16"/>
              </w:rPr>
              <w:t>Failure mode</w:t>
            </w:r>
          </w:p>
        </w:tc>
        <w:tc>
          <w:tcPr>
            <w:tcW w:type="dxa" w:w="4997"/>
            <w:shd w:fill="164A60"/>
          </w:tcPr>
          <w:p>
            <w:r>
              <w:rPr>
                <w:b/>
                <w:color w:val="FFFFFF"/>
                <w:sz w:val="16"/>
              </w:rPr>
              <w:t>Mandatory system behavior</w:t>
            </w:r>
          </w:p>
        </w:tc>
      </w:tr>
      <w:tr>
        <w:tc>
          <w:tcPr>
            <w:tcW w:type="dxa" w:w="4997"/>
            <w:vAlign w:val="center"/>
          </w:tcPr>
          <w:p>
            <w:pPr>
              <w:spacing w:after="20"/>
            </w:pPr>
            <w:r>
              <w:rPr>
                <w:sz w:val="16"/>
              </w:rPr>
              <w:t>Money captured, no supplier availability</w:t>
            </w:r>
          </w:p>
        </w:tc>
        <w:tc>
          <w:tcPr>
            <w:tcW w:type="dxa" w:w="4997"/>
            <w:vAlign w:val="center"/>
          </w:tcPr>
          <w:p>
            <w:pPr>
              <w:spacing w:after="20"/>
            </w:pPr>
            <w:r>
              <w:rPr>
                <w:sz w:val="16"/>
              </w:rPr>
              <w:t>Pending-not-confirmed state, immediate alert and refund/manual remedy</w:t>
            </w:r>
          </w:p>
        </w:tc>
      </w:tr>
      <w:tr>
        <w:tc>
          <w:tcPr>
            <w:tcW w:type="dxa" w:w="4997"/>
            <w:vAlign w:val="center"/>
            <w:shd w:fill="F0F5F7"/>
          </w:tcPr>
          <w:p>
            <w:pPr>
              <w:spacing w:after="20"/>
            </w:pPr>
            <w:r>
              <w:rPr>
                <w:sz w:val="16"/>
              </w:rPr>
              <w:t>Duplicate webhook</w:t>
            </w:r>
          </w:p>
        </w:tc>
        <w:tc>
          <w:tcPr>
            <w:tcW w:type="dxa" w:w="4997"/>
            <w:vAlign w:val="center"/>
            <w:shd w:fill="F0F5F7"/>
          </w:tcPr>
          <w:p>
            <w:pPr>
              <w:spacing w:after="20"/>
            </w:pPr>
            <w:r>
              <w:rPr>
                <w:sz w:val="16"/>
              </w:rPr>
              <w:t>One payment booking transition; event inbox dedup</w:t>
            </w:r>
          </w:p>
        </w:tc>
      </w:tr>
      <w:tr>
        <w:tc>
          <w:tcPr>
            <w:tcW w:type="dxa" w:w="4997"/>
            <w:vAlign w:val="center"/>
          </w:tcPr>
          <w:p>
            <w:pPr>
              <w:spacing w:after="20"/>
            </w:pPr>
            <w:r>
              <w:rPr>
                <w:sz w:val="16"/>
              </w:rPr>
              <w:t>Expired seat hold while capture races</w:t>
            </w:r>
          </w:p>
        </w:tc>
        <w:tc>
          <w:tcPr>
            <w:tcW w:type="dxa" w:w="4997"/>
            <w:vAlign w:val="center"/>
          </w:tcPr>
          <w:p>
            <w:pPr>
              <w:spacing w:after="20"/>
            </w:pPr>
            <w:r>
              <w:rPr>
                <w:sz w:val="16"/>
              </w:rPr>
              <w:t>Safe lock/repair; never double-confirm or lose charge</w:t>
            </w:r>
          </w:p>
        </w:tc>
      </w:tr>
      <w:tr>
        <w:tc>
          <w:tcPr>
            <w:tcW w:type="dxa" w:w="4997"/>
            <w:vAlign w:val="center"/>
            <w:shd w:fill="F0F5F7"/>
          </w:tcPr>
          <w:p>
            <w:pPr>
              <w:spacing w:after="20"/>
            </w:pPr>
            <w:r>
              <w:rPr>
                <w:sz w:val="16"/>
              </w:rPr>
              <w:t>Agent fails to operate tour</w:t>
            </w:r>
          </w:p>
        </w:tc>
        <w:tc>
          <w:tcPr>
            <w:tcW w:type="dxa" w:w="4997"/>
            <w:vAlign w:val="center"/>
            <w:shd w:fill="F0F5F7"/>
          </w:tcPr>
          <w:p>
            <w:pPr>
              <w:spacing w:after="20"/>
            </w:pPr>
            <w:r>
              <w:rPr>
                <w:sz w:val="16"/>
              </w:rPr>
              <w:t>Customer assistance, replacement/refund under contract; supplier recovery</w:t>
            </w:r>
          </w:p>
        </w:tc>
      </w:tr>
      <w:tr>
        <w:tc>
          <w:tcPr>
            <w:tcW w:type="dxa" w:w="4997"/>
            <w:vAlign w:val="center"/>
          </w:tcPr>
          <w:p>
            <w:pPr>
              <w:spacing w:after="20"/>
            </w:pPr>
            <w:r>
              <w:rPr>
                <w:sz w:val="16"/>
              </w:rPr>
              <w:t>Price changes during checkout</w:t>
            </w:r>
          </w:p>
        </w:tc>
        <w:tc>
          <w:tcPr>
            <w:tcW w:type="dxa" w:w="4997"/>
            <w:vAlign w:val="center"/>
          </w:tcPr>
          <w:p>
            <w:pPr>
              <w:spacing w:after="20"/>
            </w:pPr>
            <w:r>
              <w:rPr>
                <w:sz w:val="16"/>
              </w:rPr>
              <w:t>Honor valid price lock or request explicit repricing consent</w:t>
            </w:r>
          </w:p>
        </w:tc>
      </w:tr>
      <w:tr>
        <w:tc>
          <w:tcPr>
            <w:tcW w:type="dxa" w:w="4997"/>
            <w:vAlign w:val="center"/>
            <w:shd w:fill="F0F5F7"/>
          </w:tcPr>
          <w:p>
            <w:pPr>
              <w:spacing w:after="20"/>
            </w:pPr>
            <w:r>
              <w:rPr>
                <w:sz w:val="16"/>
              </w:rPr>
              <w:t>Payout reversed or bank reject</w:t>
            </w:r>
          </w:p>
        </w:tc>
        <w:tc>
          <w:tcPr>
            <w:tcW w:type="dxa" w:w="4997"/>
            <w:vAlign w:val="center"/>
            <w:shd w:fill="F0F5F7"/>
          </w:tcPr>
          <w:p>
            <w:pPr>
              <w:spacing w:after="20"/>
            </w:pPr>
            <w:r>
              <w:rPr>
                <w:sz w:val="16"/>
              </w:rPr>
              <w:t>Mark failed, reconcile and reissue only with approval</w:t>
            </w:r>
          </w:p>
        </w:tc>
      </w:tr>
      <w:tr>
        <w:tc>
          <w:tcPr>
            <w:tcW w:type="dxa" w:w="4997"/>
            <w:vAlign w:val="center"/>
          </w:tcPr>
          <w:p>
            <w:pPr>
              <w:spacing w:after="20"/>
            </w:pPr>
            <w:r>
              <w:rPr>
                <w:sz w:val="16"/>
              </w:rPr>
              <w:t>Chargeback after payout</w:t>
            </w:r>
          </w:p>
        </w:tc>
        <w:tc>
          <w:tcPr>
            <w:tcW w:type="dxa" w:w="4997"/>
            <w:vAlign w:val="center"/>
          </w:tcPr>
          <w:p>
            <w:pPr>
              <w:spacing w:after="20"/>
            </w:pPr>
            <w:r>
              <w:rPr>
                <w:sz w:val="16"/>
              </w:rPr>
              <w:t>Financial reserve, dispute documents and supplier recovery policy</w:t>
            </w:r>
          </w:p>
        </w:tc>
      </w:tr>
    </w:tbl>
    <w:p/>
    <w:p>
      <w:pPr>
        <w:pStyle w:val="Heading2"/>
        <w:keepNext/>
        <w:spacing w:before="240"/>
      </w:pPr>
      <w:r>
        <w:t>70. Security and responsible AI controls</w:t>
      </w:r>
    </w:p>
    <w:p>
      <w:pPr>
        <w:spacing w:after="100"/>
      </w:pPr>
      <w:r>
        <w:t>Apply MFA to suppliers/admins, supplier isolation, audit logs, least-privilege access, consented document collection, encryption, secrets vault, CSP and checkout origin validation, rate limiting, fraud/velocity checks, incident response and retention schedules. For Indian card payments, RBI restrictions generally forbid merchants storing actual card-on-file credentials; provider tokenization and masked display details are preferred [S5]. Never store CVV after authorization.</w:t>
      </w:r>
    </w:p>
    <w:p>
      <w:pPr>
        <w:spacing w:after="100"/>
      </w:pPr>
      <w:r>
        <w:t>Scout/Crew AI may suggest packages and build shareable itineraries, but authoritative price and availability come only from inventory/supplier API; financial actions require a verified user request and deterministic backend workflow. No unverified AI text should assert "3 seats left", "best price", tax rates, open hours, guaranteed bookings, or earned discount. Add evaluation datasets covering tool grounding, hallucinated seats, refund-policy compliance, leakage of private agent pricing and unauthorized booking actions.</w:t>
      </w:r>
    </w:p>
    <w:p>
      <w:pPr>
        <w:pStyle w:val="Heading2"/>
        <w:keepNext/>
        <w:spacing w:before="240"/>
      </w:pPr>
      <w:r>
        <w:t>71. Unit economics and growth with ₹100-₹150 contribution per booking</w:t>
      </w:r>
    </w:p>
    <w:p>
      <w:pPr>
        <w:spacing w:after="100"/>
      </w:pPr>
      <w:r>
        <w:t>The distinction is key: contribution after per-booking variable costs is NOT necessarily final net profit if salaries, legal fees, subscriptions and salaries remain. Founder should track both contribution per completed booking and company-wide operating profit. A large number of transactions with tiny margin can cause large refund and cashflow risks.</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Monthly target (before extra fixed costs)</w:t>
            </w:r>
          </w:p>
        </w:tc>
        <w:tc>
          <w:tcPr>
            <w:tcW w:type="dxa" w:w="3331"/>
            <w:shd w:fill="164A60"/>
          </w:tcPr>
          <w:p>
            <w:r>
              <w:rPr>
                <w:b/>
                <w:color w:val="FFFFFF"/>
                <w:sz w:val="16"/>
              </w:rPr>
              <w:t>At ₹100 / booking</w:t>
            </w:r>
          </w:p>
        </w:tc>
        <w:tc>
          <w:tcPr>
            <w:tcW w:type="dxa" w:w="3331"/>
            <w:shd w:fill="164A60"/>
          </w:tcPr>
          <w:p>
            <w:r>
              <w:rPr>
                <w:b/>
                <w:color w:val="FFFFFF"/>
                <w:sz w:val="16"/>
              </w:rPr>
              <w:t>At ₹150 / booking</w:t>
            </w:r>
          </w:p>
        </w:tc>
      </w:tr>
      <w:tr>
        <w:tc>
          <w:tcPr>
            <w:tcW w:type="dxa" w:w="3331"/>
            <w:vAlign w:val="center"/>
          </w:tcPr>
          <w:p>
            <w:pPr>
              <w:spacing w:after="20"/>
            </w:pPr>
            <w:r>
              <w:rPr>
                <w:sz w:val="16"/>
              </w:rPr>
              <w:t>₹50,000 contribution</w:t>
            </w:r>
          </w:p>
        </w:tc>
        <w:tc>
          <w:tcPr>
            <w:tcW w:type="dxa" w:w="3331"/>
            <w:vAlign w:val="center"/>
          </w:tcPr>
          <w:p>
            <w:pPr>
              <w:spacing w:after="20"/>
            </w:pPr>
            <w:r>
              <w:rPr>
                <w:sz w:val="16"/>
              </w:rPr>
              <w:t>500 bookings</w:t>
            </w:r>
          </w:p>
        </w:tc>
        <w:tc>
          <w:tcPr>
            <w:tcW w:type="dxa" w:w="3331"/>
            <w:vAlign w:val="center"/>
          </w:tcPr>
          <w:p>
            <w:pPr>
              <w:spacing w:after="20"/>
            </w:pPr>
            <w:r>
              <w:rPr>
                <w:sz w:val="16"/>
              </w:rPr>
              <w:t>334 bookings</w:t>
            </w:r>
          </w:p>
        </w:tc>
      </w:tr>
      <w:tr>
        <w:tc>
          <w:tcPr>
            <w:tcW w:type="dxa" w:w="3331"/>
            <w:vAlign w:val="center"/>
            <w:shd w:fill="F0F5F7"/>
          </w:tcPr>
          <w:p>
            <w:pPr>
              <w:spacing w:after="20"/>
            </w:pPr>
            <w:r>
              <w:rPr>
                <w:sz w:val="16"/>
              </w:rPr>
              <w:t>₹1,00,000 contribution</w:t>
            </w:r>
          </w:p>
        </w:tc>
        <w:tc>
          <w:tcPr>
            <w:tcW w:type="dxa" w:w="3331"/>
            <w:vAlign w:val="center"/>
            <w:shd w:fill="F0F5F7"/>
          </w:tcPr>
          <w:p>
            <w:pPr>
              <w:spacing w:after="20"/>
            </w:pPr>
            <w:r>
              <w:rPr>
                <w:sz w:val="16"/>
              </w:rPr>
              <w:t>1,000 bookings</w:t>
            </w:r>
          </w:p>
        </w:tc>
        <w:tc>
          <w:tcPr>
            <w:tcW w:type="dxa" w:w="3331"/>
            <w:vAlign w:val="center"/>
            <w:shd w:fill="F0F5F7"/>
          </w:tcPr>
          <w:p>
            <w:pPr>
              <w:spacing w:after="20"/>
            </w:pPr>
            <w:r>
              <w:rPr>
                <w:sz w:val="16"/>
              </w:rPr>
              <w:t>667 bookings</w:t>
            </w:r>
          </w:p>
        </w:tc>
      </w:tr>
      <w:tr>
        <w:tc>
          <w:tcPr>
            <w:tcW w:type="dxa" w:w="3331"/>
            <w:vAlign w:val="center"/>
          </w:tcPr>
          <w:p>
            <w:pPr>
              <w:spacing w:after="20"/>
            </w:pPr>
            <w:r>
              <w:rPr>
                <w:sz w:val="16"/>
              </w:rPr>
              <w:t>₹3,00,000 contribution</w:t>
            </w:r>
          </w:p>
        </w:tc>
        <w:tc>
          <w:tcPr>
            <w:tcW w:type="dxa" w:w="3331"/>
            <w:vAlign w:val="center"/>
          </w:tcPr>
          <w:p>
            <w:pPr>
              <w:spacing w:after="20"/>
            </w:pPr>
            <w:r>
              <w:rPr>
                <w:sz w:val="16"/>
              </w:rPr>
              <w:t>3,000 bookings</w:t>
            </w:r>
          </w:p>
        </w:tc>
        <w:tc>
          <w:tcPr>
            <w:tcW w:type="dxa" w:w="3331"/>
            <w:vAlign w:val="center"/>
          </w:tcPr>
          <w:p>
            <w:pPr>
              <w:spacing w:after="20"/>
            </w:pPr>
            <w:r>
              <w:rPr>
                <w:sz w:val="16"/>
              </w:rPr>
              <w:t>2,000 bookings</w:t>
            </w:r>
          </w:p>
        </w:tc>
      </w:tr>
      <w:tr>
        <w:tc>
          <w:tcPr>
            <w:tcW w:type="dxa" w:w="3331"/>
            <w:vAlign w:val="center"/>
            <w:shd w:fill="F0F5F7"/>
          </w:tcPr>
          <w:p>
            <w:pPr>
              <w:spacing w:after="20"/>
            </w:pPr>
            <w:r>
              <w:rPr>
                <w:sz w:val="16"/>
              </w:rPr>
              <w:t>₹5,00,000 contribution</w:t>
            </w:r>
          </w:p>
        </w:tc>
        <w:tc>
          <w:tcPr>
            <w:tcW w:type="dxa" w:w="3331"/>
            <w:vAlign w:val="center"/>
            <w:shd w:fill="F0F5F7"/>
          </w:tcPr>
          <w:p>
            <w:pPr>
              <w:spacing w:after="20"/>
            </w:pPr>
            <w:r>
              <w:rPr>
                <w:sz w:val="16"/>
              </w:rPr>
              <w:t>5,000 bookings</w:t>
            </w:r>
          </w:p>
        </w:tc>
        <w:tc>
          <w:tcPr>
            <w:tcW w:type="dxa" w:w="3331"/>
            <w:vAlign w:val="center"/>
            <w:shd w:fill="F0F5F7"/>
          </w:tcPr>
          <w:p>
            <w:pPr>
              <w:spacing w:after="20"/>
            </w:pPr>
            <w:r>
              <w:rPr>
                <w:sz w:val="16"/>
              </w:rPr>
              <w:t>3,334 bookings</w:t>
            </w:r>
          </w:p>
        </w:tc>
      </w:tr>
      <w:tr>
        <w:tc>
          <w:tcPr>
            <w:tcW w:type="dxa" w:w="3331"/>
            <w:vAlign w:val="center"/>
          </w:tcPr>
          <w:p>
            <w:pPr>
              <w:spacing w:after="20"/>
            </w:pPr>
            <w:r>
              <w:rPr>
                <w:sz w:val="16"/>
              </w:rPr>
              <w:t>₹10,00,000 contribution</w:t>
            </w:r>
          </w:p>
        </w:tc>
        <w:tc>
          <w:tcPr>
            <w:tcW w:type="dxa" w:w="3331"/>
            <w:vAlign w:val="center"/>
          </w:tcPr>
          <w:p>
            <w:pPr>
              <w:spacing w:after="20"/>
            </w:pPr>
            <w:r>
              <w:rPr>
                <w:sz w:val="16"/>
              </w:rPr>
              <w:t>10,000 bookings</w:t>
            </w:r>
          </w:p>
        </w:tc>
        <w:tc>
          <w:tcPr>
            <w:tcW w:type="dxa" w:w="3331"/>
            <w:vAlign w:val="center"/>
          </w:tcPr>
          <w:p>
            <w:pPr>
              <w:spacing w:after="20"/>
            </w:pPr>
            <w:r>
              <w:rPr>
                <w:sz w:val="16"/>
              </w:rPr>
              <w:t>6,667 bookings</w:t>
            </w:r>
          </w:p>
        </w:tc>
      </w:tr>
    </w:tbl>
    <w:p/>
    <w:p>
      <w:pPr>
        <w:spacing w:after="100"/>
      </w:pPr>
      <w:r>
        <w:t>Illustration: 1,000 completed ₹15,000 packages/month implies ₹1.5 crore gross booking value (GMV), but only ₹1-1.5 lakh contribution at ₹100-₹150. GMV, revenue, GST remittance, supplier payable, contribution and net company profit must be separate dashboard metrics.</w:t>
      </w:r>
    </w:p>
    <w:p>
      <w:pPr>
        <w:spacing w:before="100" w:after="80"/>
      </w:pPr>
      <w:r>
        <w:rPr>
          <w:b/>
          <w:color w:val="15394F"/>
        </w:rPr>
        <w:t>Metrics to instrument before spending aggressively</w:t>
      </w:r>
    </w:p>
    <w:p>
      <w:pPr>
        <w:pStyle w:val="ListBullet"/>
        <w:spacing w:after="40"/>
      </w:pPr>
      <w:r>
        <w:t>Search -&gt; quote -&gt; booking conversion, by supplier and channel; first-time vs repeat customers.</w:t>
      </w:r>
    </w:p>
    <w:p>
      <w:pPr>
        <w:pStyle w:val="ListBullet"/>
        <w:spacing w:after="40"/>
      </w:pPr>
      <w:r>
        <w:t>Gross booking value, commission/net-rate revenue excluding GST, contribution per booking, contribution by departure.</w:t>
      </w:r>
    </w:p>
    <w:p>
      <w:pPr>
        <w:pStyle w:val="ListBullet"/>
        <w:spacing w:after="40"/>
      </w:pPr>
      <w:r>
        <w:t>CAC per paying customer, payback period, discounts and gateway fee leakage.</w:t>
      </w:r>
    </w:p>
    <w:p>
      <w:pPr>
        <w:pStyle w:val="ListBullet"/>
        <w:spacing w:after="40"/>
      </w:pPr>
      <w:r>
        <w:t>On-time supplier confirmations, cancellations, refund completion and chargeback rate.</w:t>
      </w:r>
    </w:p>
    <w:p>
      <w:pPr>
        <w:pStyle w:val="ListBullet"/>
        <w:spacing w:after="40"/>
      </w:pPr>
      <w:r>
        <w:t>Supplier payment aging, bank settlement reconciliation success rate and booking-related cash liabilities.</w:t>
      </w:r>
    </w:p>
    <w:p>
      <w:pPr>
        <w:pStyle w:val="ListBullet"/>
        <w:spacing w:after="40"/>
      </w:pPr>
      <w:r>
        <w:t>AI inference cost per trip, itinerary conversion, organic/referral acquisition, group size and repeat usage.</w:t>
      </w:r>
    </w:p>
    <w:p>
      <w:pPr>
        <w:pStyle w:val="Heading2"/>
        <w:keepNext/>
        <w:spacing w:before="240"/>
      </w:pPr>
      <w:r>
        <w:t>72. Solo founder to first hires: cash-based gates</w:t>
      </w:r>
    </w:p>
    <w:p>
      <w:pPr>
        <w:spacing w:after="100"/>
      </w:pPr>
      <w:r>
        <w:t>Suggested order: founder handles engineering, product and first supplier contracts; use qualified external CA/lawyer before payments; add part-time booking support or vendor success when operational ticket volume justifies it; first full-time hire is likely supplier acquisition/operations; later dedicated support, marketing, engineering and finance. Headcount is a financial consequence, not a goal.</w:t>
      </w:r>
    </w:p>
    <w:tbl>
      <w:tblPr>
        <w:tblStyle w:val="TableGrid"/>
        <w:tblW w:type="auto" w:w="0"/>
        <w:jc w:val="center"/>
        <w:tblLayout w:type="autofit"/>
        <w:tblLook w:firstColumn="1" w:firstRow="1" w:lastColumn="0" w:lastRow="0" w:noHBand="0" w:noVBand="1" w:val="04A0"/>
      </w:tblPr>
      <w:tblGrid>
        <w:gridCol w:w="3331"/>
        <w:gridCol w:w="3331"/>
        <w:gridCol w:w="3331"/>
      </w:tblGrid>
      <w:tr>
        <w:trPr>
          <w:tblHeader w:val="true"/>
        </w:trPr>
        <w:tc>
          <w:tcPr>
            <w:tcW w:type="dxa" w:w="3331"/>
            <w:shd w:fill="164A60"/>
          </w:tcPr>
          <w:p>
            <w:r>
              <w:rPr>
                <w:b/>
                <w:color w:val="FFFFFF"/>
                <w:sz w:val="16"/>
              </w:rPr>
              <w:t>Stage</w:t>
            </w:r>
          </w:p>
        </w:tc>
        <w:tc>
          <w:tcPr>
            <w:tcW w:type="dxa" w:w="3331"/>
            <w:shd w:fill="164A60"/>
          </w:tcPr>
          <w:p>
            <w:r>
              <w:rPr>
                <w:b/>
                <w:color w:val="FFFFFF"/>
                <w:sz w:val="16"/>
              </w:rPr>
              <w:t>Evidence / milestone</w:t>
            </w:r>
          </w:p>
        </w:tc>
        <w:tc>
          <w:tcPr>
            <w:tcW w:type="dxa" w:w="3331"/>
            <w:shd w:fill="164A60"/>
          </w:tcPr>
          <w:p>
            <w:r>
              <w:rPr>
                <w:b/>
                <w:color w:val="FFFFFF"/>
                <w:sz w:val="16"/>
              </w:rPr>
              <w:t>Team decision</w:t>
            </w:r>
          </w:p>
        </w:tc>
      </w:tr>
      <w:tr>
        <w:tc>
          <w:tcPr>
            <w:tcW w:type="dxa" w:w="3331"/>
            <w:vAlign w:val="center"/>
          </w:tcPr>
          <w:p>
            <w:pPr>
              <w:spacing w:after="20"/>
            </w:pPr>
            <w:r>
              <w:rPr>
                <w:sz w:val="16"/>
              </w:rPr>
              <w:t>Pre-launch</w:t>
            </w:r>
          </w:p>
        </w:tc>
        <w:tc>
          <w:tcPr>
            <w:tcW w:type="dxa" w:w="3331"/>
            <w:vAlign w:val="center"/>
          </w:tcPr>
          <w:p>
            <w:pPr>
              <w:spacing w:after="20"/>
            </w:pPr>
            <w:r>
              <w:rPr>
                <w:sz w:val="16"/>
              </w:rPr>
              <w:t>3-5 verified suppliers, test bookings, no critical defects</w:t>
            </w:r>
          </w:p>
        </w:tc>
        <w:tc>
          <w:tcPr>
            <w:tcW w:type="dxa" w:w="3331"/>
            <w:vAlign w:val="center"/>
          </w:tcPr>
          <w:p>
            <w:pPr>
              <w:spacing w:after="20"/>
            </w:pPr>
            <w:r>
              <w:rPr>
                <w:sz w:val="16"/>
              </w:rPr>
              <w:t>Founder + contractors only</w:t>
            </w:r>
          </w:p>
        </w:tc>
      </w:tr>
      <w:tr>
        <w:tc>
          <w:tcPr>
            <w:tcW w:type="dxa" w:w="3331"/>
            <w:vAlign w:val="center"/>
            <w:shd w:fill="F0F5F7"/>
          </w:tcPr>
          <w:p>
            <w:pPr>
              <w:spacing w:after="20"/>
            </w:pPr>
            <w:r>
              <w:rPr>
                <w:sz w:val="16"/>
              </w:rPr>
              <w:t>Pilot</w:t>
            </w:r>
          </w:p>
        </w:tc>
        <w:tc>
          <w:tcPr>
            <w:tcW w:type="dxa" w:w="3331"/>
            <w:vAlign w:val="center"/>
            <w:shd w:fill="F0F5F7"/>
          </w:tcPr>
          <w:p>
            <w:pPr>
              <w:spacing w:after="20"/>
            </w:pPr>
            <w:r>
              <w:rPr>
                <w:sz w:val="16"/>
              </w:rPr>
              <w:t>50-100 PAID and FULFILLED bookings; low refunds</w:t>
            </w:r>
          </w:p>
        </w:tc>
        <w:tc>
          <w:tcPr>
            <w:tcW w:type="dxa" w:w="3331"/>
            <w:vAlign w:val="center"/>
            <w:shd w:fill="F0F5F7"/>
          </w:tcPr>
          <w:p>
            <w:pPr>
              <w:spacing w:after="20"/>
            </w:pPr>
            <w:r>
              <w:rPr>
                <w:sz w:val="16"/>
              </w:rPr>
              <w:t>Part-time vendor operations/support if backlog exists</w:t>
            </w:r>
          </w:p>
        </w:tc>
      </w:tr>
      <w:tr>
        <w:tc>
          <w:tcPr>
            <w:tcW w:type="dxa" w:w="3331"/>
            <w:vAlign w:val="center"/>
          </w:tcPr>
          <w:p>
            <w:pPr>
              <w:spacing w:after="20"/>
            </w:pPr>
            <w:r>
              <w:rPr>
                <w:sz w:val="16"/>
              </w:rPr>
              <w:t>Repeatable</w:t>
            </w:r>
          </w:p>
        </w:tc>
        <w:tc>
          <w:tcPr>
            <w:tcW w:type="dxa" w:w="3331"/>
            <w:vAlign w:val="center"/>
          </w:tcPr>
          <w:p>
            <w:pPr>
              <w:spacing w:after="20"/>
            </w:pPr>
            <w:r>
              <w:rPr>
                <w:sz w:val="16"/>
              </w:rPr>
              <w:t>3+ months positive contribution; clear repeat and organic demand</w:t>
            </w:r>
          </w:p>
        </w:tc>
        <w:tc>
          <w:tcPr>
            <w:tcW w:type="dxa" w:w="3331"/>
            <w:vAlign w:val="center"/>
          </w:tcPr>
          <w:p>
            <w:pPr>
              <w:spacing w:after="20"/>
            </w:pPr>
            <w:r>
              <w:rPr>
                <w:sz w:val="16"/>
              </w:rPr>
              <w:t>Consider first employee with 6-12 months payroll runway</w:t>
            </w:r>
          </w:p>
        </w:tc>
      </w:tr>
      <w:tr>
        <w:tc>
          <w:tcPr>
            <w:tcW w:type="dxa" w:w="3331"/>
            <w:vAlign w:val="center"/>
            <w:shd w:fill="F0F5F7"/>
          </w:tcPr>
          <w:p>
            <w:pPr>
              <w:spacing w:after="20"/>
            </w:pPr>
            <w:r>
              <w:rPr>
                <w:sz w:val="16"/>
              </w:rPr>
              <w:t>Growth</w:t>
            </w:r>
          </w:p>
        </w:tc>
        <w:tc>
          <w:tcPr>
            <w:tcW w:type="dxa" w:w="3331"/>
            <w:vAlign w:val="center"/>
            <w:shd w:fill="F0F5F7"/>
          </w:tcPr>
          <w:p>
            <w:pPr>
              <w:spacing w:after="20"/>
            </w:pPr>
            <w:r>
              <w:rPr>
                <w:sz w:val="16"/>
              </w:rPr>
              <w:t>Operations constrained, supplier support measurable, margins persist</w:t>
            </w:r>
          </w:p>
        </w:tc>
        <w:tc>
          <w:tcPr>
            <w:tcW w:type="dxa" w:w="3331"/>
            <w:vAlign w:val="center"/>
            <w:shd w:fill="F0F5F7"/>
          </w:tcPr>
          <w:p>
            <w:pPr>
              <w:spacing w:after="20"/>
            </w:pPr>
            <w:r>
              <w:rPr>
                <w:sz w:val="16"/>
              </w:rPr>
              <w:t>2-5-person specialist team, prioritized by bottlenecks</w:t>
            </w:r>
          </w:p>
        </w:tc>
      </w:tr>
      <w:tr>
        <w:tc>
          <w:tcPr>
            <w:tcW w:type="dxa" w:w="3331"/>
            <w:vAlign w:val="center"/>
          </w:tcPr>
          <w:p>
            <w:pPr>
              <w:spacing w:after="20"/>
            </w:pPr>
            <w:r>
              <w:rPr>
                <w:sz w:val="16"/>
              </w:rPr>
              <w:t>Scale</w:t>
            </w:r>
          </w:p>
        </w:tc>
        <w:tc>
          <w:tcPr>
            <w:tcW w:type="dxa" w:w="3331"/>
            <w:vAlign w:val="center"/>
          </w:tcPr>
          <w:p>
            <w:pPr>
              <w:spacing w:after="20"/>
            </w:pPr>
            <w:r>
              <w:rPr>
                <w:sz w:val="16"/>
              </w:rPr>
              <w:t>Strong unit economics, broad supplier coverage and controls</w:t>
            </w:r>
          </w:p>
        </w:tc>
        <w:tc>
          <w:tcPr>
            <w:tcW w:type="dxa" w:w="3331"/>
            <w:vAlign w:val="center"/>
          </w:tcPr>
          <w:p>
            <w:pPr>
              <w:spacing w:after="20"/>
            </w:pPr>
            <w:r>
              <w:rPr>
                <w:sz w:val="16"/>
              </w:rPr>
              <w:t>Managers, finance ops, compliance and engineering squads</w:t>
            </w:r>
          </w:p>
        </w:tc>
      </w:tr>
    </w:tbl>
    <w:p/>
    <w:p>
      <w:pPr>
        <w:spacing w:after="100"/>
      </w:pPr>
      <w:r>
        <w:t>Salary example: a ₹50,000 monthly fully loaded employee cost requires 400 extra bookings/month at ₹125 contribution to cover just that employee. A prudent cash gate also preserves separate operating and customer-refund reserves. Hiring from customer deposits without reserved refund obligations is not a sound cash plan.</w:t>
      </w:r>
    </w:p>
    <w:p>
      <w:pPr>
        <w:pStyle w:val="Heading1"/>
        <w:keepNext/>
        <w:spacing w:before="360"/>
      </w:pPr>
      <w:r>
        <w:t>PART XIII — THE STEP-BY-STEP EXECUTION PLAN</w:t>
      </w:r>
    </w:p>
    <w:p>
      <w:pPr>
        <w:pStyle w:val="Heading2"/>
        <w:keepNext/>
        <w:spacing w:before="240"/>
      </w:pPr>
      <w:r>
        <w:t>73. First 14 days: choose the money model, do not code yet</w:t>
      </w:r>
    </w:p>
    <w:p>
      <w:pPr>
        <w:pStyle w:val="ListBullet"/>
        <w:spacing w:after="40"/>
      </w:pPr>
      <w:r>
        <w:t>Decide legal incorporation/bank country, India vs US platform operating strategy, and target customer geography.</w:t>
      </w:r>
    </w:p>
    <w:p>
      <w:pPr>
        <w:pStyle w:val="ListBullet"/>
        <w:spacing w:after="40"/>
      </w:pPr>
      <w:r>
        <w:t>Engage qualified India GST/tour-operator accountant and payments counsel; get signed determination matrix for both sale models.</w:t>
      </w:r>
    </w:p>
    <w:p>
      <w:pPr>
        <w:pStyle w:val="ListBullet"/>
        <w:spacing w:after="40"/>
      </w:pPr>
      <w:r>
        <w:t>Choose initial supplier niche (e.g., domestic 3-5 day Indian group packages) and customer acquisition channel.</w:t>
      </w:r>
    </w:p>
    <w:p>
      <w:pPr>
        <w:pStyle w:val="ListBullet"/>
        <w:spacing w:after="40"/>
      </w:pPr>
      <w:r>
        <w:t>Agree pilot operator contract: legal seller, commission/net rate, GST inclusivity, price authority, allotment, cancellation terms, payout milestones.</w:t>
      </w:r>
    </w:p>
    <w:p>
      <w:pPr>
        <w:pStyle w:val="ListBullet"/>
        <w:spacing w:after="40"/>
      </w:pPr>
      <w:r>
        <w:t>Request marketplace travel business onboarding and commercial schedules from Razorpay Route and Cashfree Easy Split; test one provider in sandbox.</w:t>
      </w:r>
    </w:p>
    <w:p>
      <w:pPr>
        <w:pStyle w:val="ListBullet"/>
        <w:spacing w:after="40"/>
      </w:pPr>
      <w:r>
        <w:t>Lock product strategy: MARKETPLACE default + RESELLER behind feature flag; prevent mode changes after publishing.</w:t>
      </w:r>
    </w:p>
    <w:p>
      <w:pPr>
        <w:pStyle w:val="Heading2"/>
        <w:keepNext/>
        <w:spacing w:before="240"/>
      </w:pPr>
      <w:r>
        <w:t>74. Weeks 3-6: build first bookable supplier inventory</w:t>
      </w:r>
    </w:p>
    <w:p>
      <w:pPr>
        <w:pStyle w:val="ListBullet"/>
        <w:spacing w:after="40"/>
      </w:pPr>
      <w:r>
        <w:t>Create PostgreSQL commerce schema and migrations; do not alter canonical SQLite IDs.</w:t>
      </w:r>
    </w:p>
    <w:p>
      <w:pPr>
        <w:pStyle w:val="ListBullet"/>
        <w:spacing w:after="40"/>
      </w:pPr>
      <w:r>
        <w:t>Build verified partner signup, contract review, package creation, photos, inclusions, price, GST profile and departure calendar.</w:t>
      </w:r>
    </w:p>
    <w:p>
      <w:pPr>
        <w:pStyle w:val="ListBullet"/>
        <w:spacing w:after="40"/>
      </w:pPr>
      <w:r>
        <w:t>Build seat hold/expiry, supplier manual confirmation, client quote expiry and public package page.</w:t>
      </w:r>
    </w:p>
    <w:p>
      <w:pPr>
        <w:pStyle w:val="ListBullet"/>
        <w:spacing w:after="40"/>
      </w:pPr>
      <w:r>
        <w:t>Build tax breakdown on quote using CA-approved tax rules and sales model; render all mandatory costs in price preview.</w:t>
      </w:r>
    </w:p>
    <w:p>
      <w:pPr>
        <w:pStyle w:val="ListBullet"/>
        <w:spacing w:after="40"/>
      </w:pPr>
      <w:r>
        <w:t>Test supplier booking portal and notifications; ensure a non-technical agent can accept a booking via phone browser.</w:t>
      </w:r>
    </w:p>
    <w:p>
      <w:pPr>
        <w:pStyle w:val="ListBullet"/>
        <w:spacing w:after="40"/>
      </w:pPr>
      <w:r>
        <w:t>Add a simple admin QA and risk review screen before any supplier may publish.</w:t>
      </w:r>
    </w:p>
    <w:p>
      <w:pPr>
        <w:pStyle w:val="Heading2"/>
        <w:keepNext/>
        <w:spacing w:before="240"/>
      </w:pPr>
      <w:r>
        <w:t>75. Weeks 7-10: integrated money without overselling</w:t>
      </w:r>
    </w:p>
    <w:p>
      <w:pPr>
        <w:pStyle w:val="ListBullet"/>
        <w:spacing w:after="40"/>
      </w:pPr>
      <w:r>
        <w:t>Configure sandbox gateway orders, tokenized checkout, signed webhooks and provider API verification.</w:t>
      </w:r>
    </w:p>
    <w:p>
      <w:pPr>
        <w:pStyle w:val="ListBullet"/>
        <w:spacing w:after="40"/>
      </w:pPr>
      <w:r>
        <w:t>Connect booking state machine to captured payment AND supplier confirmation; test race conditions.</w:t>
      </w:r>
    </w:p>
    <w:p>
      <w:pPr>
        <w:pStyle w:val="ListBullet"/>
        <w:spacing w:after="40"/>
      </w:pPr>
      <w:r>
        <w:t>Configure supplier linked accounts / transfers where approved, restricted manual payouts where legally permitted.</w:t>
      </w:r>
    </w:p>
    <w:p>
      <w:pPr>
        <w:pStyle w:val="ListBullet"/>
        <w:spacing w:after="40"/>
      </w:pPr>
      <w:r>
        <w:t>Add downloadable booking confirmations, appropriate invoice issuer, tax lines, source-of-truth payment records.</w:t>
      </w:r>
    </w:p>
    <w:p>
      <w:pPr>
        <w:pStyle w:val="ListBullet"/>
        <w:spacing w:after="40"/>
      </w:pPr>
      <w:r>
        <w:t>Add cancellations, partial refunds, settlement reconciliation, UTR storage and support escalation.</w:t>
      </w:r>
    </w:p>
    <w:p>
      <w:pPr>
        <w:pStyle w:val="ListBullet"/>
        <w:spacing w:after="40"/>
      </w:pPr>
      <w:r>
        <w:t>Complete replay tests for webhook duplication, late capture, supplier rejection and one-seat contention.</w:t>
      </w:r>
    </w:p>
    <w:p>
      <w:pPr>
        <w:pStyle w:val="Heading2"/>
        <w:keepNext/>
        <w:spacing w:before="240"/>
      </w:pPr>
      <w:r>
        <w:t>76. Weeks 11-14: controlled launch and learn</w:t>
      </w:r>
    </w:p>
    <w:p>
      <w:pPr>
        <w:pStyle w:val="ListBullet"/>
        <w:spacing w:after="40"/>
      </w:pPr>
      <w:r>
        <w:t>Launch 3-5 suppliers, 10-20 approved departures, one geography; only accept bookings while support coverage is available.</w:t>
      </w:r>
    </w:p>
    <w:p>
      <w:pPr>
        <w:pStyle w:val="ListBullet"/>
        <w:spacing w:after="40"/>
      </w:pPr>
      <w:r>
        <w:t>Monitor new quotes, gateway failures, supplier confirmation delay, failed/cancelled bookings and gross contribution daily.</w:t>
      </w:r>
    </w:p>
    <w:p>
      <w:pPr>
        <w:pStyle w:val="ListBullet"/>
        <w:spacing w:after="40"/>
      </w:pPr>
      <w:r>
        <w:t>Collect post-trip quality feedback and verify actual fulfillment before supplier ratings are made public.</w:t>
      </w:r>
    </w:p>
    <w:p>
      <w:pPr>
        <w:pStyle w:val="ListBullet"/>
        <w:spacing w:after="40"/>
      </w:pPr>
      <w:r>
        <w:t>Offer clear cancellation policies; audit every first 100 bookings manually at financial ledger level.</w:t>
      </w:r>
    </w:p>
    <w:p>
      <w:pPr>
        <w:pStyle w:val="ListBullet"/>
        <w:spacing w:after="40"/>
      </w:pPr>
      <w:r>
        <w:t>Only enable RESELLER offers after review of separate seller invoice, supplier credit treatment and cancellation responsibility.</w:t>
      </w:r>
    </w:p>
    <w:p>
      <w:pPr>
        <w:pStyle w:val="ListBullet"/>
        <w:spacing w:after="40"/>
      </w:pPr>
      <w:r>
        <w:t>Expand inventory only after 95%+ operational accuracy target is consistently met (target is a proposal, not a current metric).</w:t>
      </w:r>
    </w:p>
    <w:p>
      <w:pPr>
        <w:pStyle w:val="Heading2"/>
        <w:keepNext/>
        <w:spacing w:before="240"/>
      </w:pPr>
      <w:r>
        <w:t>77. End-to-end acceptance tests (must pass before live money)</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4A60"/>
          </w:tcPr>
          <w:p>
            <w:r>
              <w:rPr>
                <w:b/>
                <w:color w:val="FFFFFF"/>
                <w:sz w:val="16"/>
              </w:rPr>
              <w:t>Test</w:t>
            </w:r>
          </w:p>
        </w:tc>
        <w:tc>
          <w:tcPr>
            <w:tcW w:type="dxa" w:w="4997"/>
            <w:shd w:fill="164A60"/>
          </w:tcPr>
          <w:p>
            <w:r>
              <w:rPr>
                <w:b/>
                <w:color w:val="FFFFFF"/>
                <w:sz w:val="16"/>
              </w:rPr>
              <w:t>Pass condition</w:t>
            </w:r>
          </w:p>
        </w:tc>
      </w:tr>
      <w:tr>
        <w:tc>
          <w:tcPr>
            <w:tcW w:type="dxa" w:w="4997"/>
            <w:vAlign w:val="center"/>
          </w:tcPr>
          <w:p>
            <w:pPr>
              <w:spacing w:after="20"/>
            </w:pPr>
            <w:r>
              <w:rPr>
                <w:sz w:val="16"/>
              </w:rPr>
              <w:t>Marketplace GST-inclusive quote</w:t>
            </w:r>
          </w:p>
        </w:tc>
        <w:tc>
          <w:tcPr>
            <w:tcW w:type="dxa" w:w="4997"/>
            <w:vAlign w:val="center"/>
          </w:tcPr>
          <w:p>
            <w:pPr>
              <w:spacing w:after="20"/>
            </w:pPr>
            <w:r>
              <w:rPr>
                <w:sz w:val="16"/>
              </w:rPr>
              <w:t>Agent tour price and TripRaft commission/service tax accounted separately</w:t>
            </w:r>
          </w:p>
        </w:tc>
      </w:tr>
      <w:tr>
        <w:tc>
          <w:tcPr>
            <w:tcW w:type="dxa" w:w="4997"/>
            <w:vAlign w:val="center"/>
            <w:shd w:fill="F0F5F7"/>
          </w:tcPr>
          <w:p>
            <w:pPr>
              <w:spacing w:after="20"/>
            </w:pPr>
            <w:r>
              <w:rPr>
                <w:sz w:val="16"/>
              </w:rPr>
              <w:t>Reseller GST-inclusive quote</w:t>
            </w:r>
          </w:p>
        </w:tc>
        <w:tc>
          <w:tcPr>
            <w:tcW w:type="dxa" w:w="4997"/>
            <w:vAlign w:val="center"/>
            <w:shd w:fill="F0F5F7"/>
          </w:tcPr>
          <w:p>
            <w:pPr>
              <w:spacing w:after="20"/>
            </w:pPr>
            <w:r>
              <w:rPr>
                <w:sz w:val="16"/>
              </w:rPr>
              <w:t>TripRaft tax base is its CUSTOMER sale, not supplier price</w:t>
            </w:r>
          </w:p>
        </w:tc>
      </w:tr>
      <w:tr>
        <w:tc>
          <w:tcPr>
            <w:tcW w:type="dxa" w:w="4997"/>
            <w:vAlign w:val="center"/>
          </w:tcPr>
          <w:p>
            <w:pPr>
              <w:spacing w:after="20"/>
            </w:pPr>
            <w:r>
              <w:rPr>
                <w:sz w:val="16"/>
              </w:rPr>
              <w:t>Two customers attempt last seat</w:t>
            </w:r>
          </w:p>
        </w:tc>
        <w:tc>
          <w:tcPr>
            <w:tcW w:type="dxa" w:w="4997"/>
            <w:vAlign w:val="center"/>
          </w:tcPr>
          <w:p>
            <w:pPr>
              <w:spacing w:after="20"/>
            </w:pPr>
            <w:r>
              <w:rPr>
                <w:sz w:val="16"/>
              </w:rPr>
              <w:t>Exactly one hold succeeds; other sees sold out</w:t>
            </w:r>
          </w:p>
        </w:tc>
      </w:tr>
      <w:tr>
        <w:tc>
          <w:tcPr>
            <w:tcW w:type="dxa" w:w="4997"/>
            <w:vAlign w:val="center"/>
            <w:shd w:fill="F0F5F7"/>
          </w:tcPr>
          <w:p>
            <w:pPr>
              <w:spacing w:after="20"/>
            </w:pPr>
            <w:r>
              <w:rPr>
                <w:sz w:val="16"/>
              </w:rPr>
              <w:t>User refreshes 20 times</w:t>
            </w:r>
          </w:p>
        </w:tc>
        <w:tc>
          <w:tcPr>
            <w:tcW w:type="dxa" w:w="4997"/>
            <w:vAlign w:val="center"/>
            <w:shd w:fill="F0F5F7"/>
          </w:tcPr>
          <w:p>
            <w:pPr>
              <w:spacing w:after="20"/>
            </w:pPr>
            <w:r>
              <w:rPr>
                <w:sz w:val="16"/>
              </w:rPr>
              <w:t>No targeted price increase without legitimate common pricing change</w:t>
            </w:r>
          </w:p>
        </w:tc>
      </w:tr>
      <w:tr>
        <w:tc>
          <w:tcPr>
            <w:tcW w:type="dxa" w:w="4997"/>
            <w:vAlign w:val="center"/>
          </w:tcPr>
          <w:p>
            <w:pPr>
              <w:spacing w:after="20"/>
            </w:pPr>
            <w:r>
              <w:rPr>
                <w:sz w:val="16"/>
              </w:rPr>
              <w:t>Supplier sells offline</w:t>
            </w:r>
          </w:p>
        </w:tc>
        <w:tc>
          <w:tcPr>
            <w:tcW w:type="dxa" w:w="4997"/>
            <w:vAlign w:val="center"/>
          </w:tcPr>
          <w:p>
            <w:pPr>
              <w:spacing w:after="20"/>
            </w:pPr>
            <w:r>
              <w:rPr>
                <w:sz w:val="16"/>
              </w:rPr>
              <w:t>Manual/externally-synced inventory cannot promise instant if not allocated</w:t>
            </w:r>
          </w:p>
        </w:tc>
      </w:tr>
      <w:tr>
        <w:tc>
          <w:tcPr>
            <w:tcW w:type="dxa" w:w="4997"/>
            <w:vAlign w:val="center"/>
            <w:shd w:fill="F0F5F7"/>
          </w:tcPr>
          <w:p>
            <w:pPr>
              <w:spacing w:after="20"/>
            </w:pPr>
            <w:r>
              <w:rPr>
                <w:sz w:val="16"/>
              </w:rPr>
              <w:t>Payment provider callback forged</w:t>
            </w:r>
          </w:p>
        </w:tc>
        <w:tc>
          <w:tcPr>
            <w:tcW w:type="dxa" w:w="4997"/>
            <w:vAlign w:val="center"/>
            <w:shd w:fill="F0F5F7"/>
          </w:tcPr>
          <w:p>
            <w:pPr>
              <w:spacing w:after="20"/>
            </w:pPr>
            <w:r>
              <w:rPr>
                <w:sz w:val="16"/>
              </w:rPr>
              <w:t>Signature fails; no booking marked paid</w:t>
            </w:r>
          </w:p>
        </w:tc>
      </w:tr>
      <w:tr>
        <w:tc>
          <w:tcPr>
            <w:tcW w:type="dxa" w:w="4997"/>
            <w:vAlign w:val="center"/>
          </w:tcPr>
          <w:p>
            <w:pPr>
              <w:spacing w:after="20"/>
            </w:pPr>
            <w:r>
              <w:rPr>
                <w:sz w:val="16"/>
              </w:rPr>
              <w:t>Duplicate captured webhook</w:t>
            </w:r>
          </w:p>
        </w:tc>
        <w:tc>
          <w:tcPr>
            <w:tcW w:type="dxa" w:w="4997"/>
            <w:vAlign w:val="center"/>
          </w:tcPr>
          <w:p>
            <w:pPr>
              <w:spacing w:after="20"/>
            </w:pPr>
            <w:r>
              <w:rPr>
                <w:sz w:val="16"/>
              </w:rPr>
              <w:t>One booking; one ledger posting; one payout</w:t>
            </w:r>
          </w:p>
        </w:tc>
      </w:tr>
      <w:tr>
        <w:tc>
          <w:tcPr>
            <w:tcW w:type="dxa" w:w="4997"/>
            <w:vAlign w:val="center"/>
            <w:shd w:fill="F0F5F7"/>
          </w:tcPr>
          <w:p>
            <w:pPr>
              <w:spacing w:after="20"/>
            </w:pPr>
            <w:r>
              <w:rPr>
                <w:sz w:val="16"/>
              </w:rPr>
              <w:t>Gateway payment succeeds, operator declines</w:t>
            </w:r>
          </w:p>
        </w:tc>
        <w:tc>
          <w:tcPr>
            <w:tcW w:type="dxa" w:w="4997"/>
            <w:vAlign w:val="center"/>
            <w:shd w:fill="F0F5F7"/>
          </w:tcPr>
          <w:p>
            <w:pPr>
              <w:spacing w:after="20"/>
            </w:pPr>
            <w:r>
              <w:rPr>
                <w:sz w:val="16"/>
              </w:rPr>
              <w:t>No fake confirmation; refunds initiated and reconciled</w:t>
            </w:r>
          </w:p>
        </w:tc>
      </w:tr>
      <w:tr>
        <w:tc>
          <w:tcPr>
            <w:tcW w:type="dxa" w:w="4997"/>
            <w:vAlign w:val="center"/>
          </w:tcPr>
          <w:p>
            <w:pPr>
              <w:spacing w:after="20"/>
            </w:pPr>
            <w:r>
              <w:rPr>
                <w:sz w:val="16"/>
              </w:rPr>
              <w:t>Supplier payout succeeds then bank reversal</w:t>
            </w:r>
          </w:p>
        </w:tc>
        <w:tc>
          <w:tcPr>
            <w:tcW w:type="dxa" w:w="4997"/>
            <w:vAlign w:val="center"/>
          </w:tcPr>
          <w:p>
            <w:pPr>
              <w:spacing w:after="20"/>
            </w:pPr>
            <w:r>
              <w:rPr>
                <w:sz w:val="16"/>
              </w:rPr>
              <w:t>Bank state not falsely final; reconciliation exception visible</w:t>
            </w:r>
          </w:p>
        </w:tc>
      </w:tr>
      <w:tr>
        <w:tc>
          <w:tcPr>
            <w:tcW w:type="dxa" w:w="4997"/>
            <w:vAlign w:val="center"/>
            <w:shd w:fill="F0F5F7"/>
          </w:tcPr>
          <w:p>
            <w:pPr>
              <w:spacing w:after="20"/>
            </w:pPr>
            <w:r>
              <w:rPr>
                <w:sz w:val="16"/>
              </w:rPr>
              <w:t>Agent attempts cross-tenant read</w:t>
            </w:r>
          </w:p>
        </w:tc>
        <w:tc>
          <w:tcPr>
            <w:tcW w:type="dxa" w:w="4997"/>
            <w:vAlign w:val="center"/>
            <w:shd w:fill="F0F5F7"/>
          </w:tcPr>
          <w:p>
            <w:pPr>
              <w:spacing w:after="20"/>
            </w:pPr>
            <w:r>
              <w:rPr>
                <w:sz w:val="16"/>
              </w:rPr>
              <w:t>403; no other supplier names, passenger details or payouts</w:t>
            </w:r>
          </w:p>
        </w:tc>
      </w:tr>
      <w:tr>
        <w:tc>
          <w:tcPr>
            <w:tcW w:type="dxa" w:w="4997"/>
            <w:vAlign w:val="center"/>
          </w:tcPr>
          <w:p>
            <w:pPr>
              <w:spacing w:after="20"/>
            </w:pPr>
            <w:r>
              <w:rPr>
                <w:sz w:val="16"/>
              </w:rPr>
              <w:t>Saved card requested</w:t>
            </w:r>
          </w:p>
        </w:tc>
        <w:tc>
          <w:tcPr>
            <w:tcW w:type="dxa" w:w="4997"/>
            <w:vAlign w:val="center"/>
          </w:tcPr>
          <w:p>
            <w:pPr>
              <w:spacing w:after="20"/>
            </w:pPr>
            <w:r>
              <w:rPr>
                <w:sz w:val="16"/>
              </w:rPr>
              <w:t>Provider token saved with consent; no PAN/CVV in TripRaft store</w:t>
            </w:r>
          </w:p>
        </w:tc>
      </w:tr>
      <w:tr>
        <w:tc>
          <w:tcPr>
            <w:tcW w:type="dxa" w:w="4997"/>
            <w:vAlign w:val="center"/>
            <w:shd w:fill="F0F5F7"/>
          </w:tcPr>
          <w:p>
            <w:pPr>
              <w:spacing w:after="20"/>
            </w:pPr>
            <w:r>
              <w:rPr>
                <w:sz w:val="16"/>
              </w:rPr>
              <w:t>Refund after supplier payout</w:t>
            </w:r>
          </w:p>
        </w:tc>
        <w:tc>
          <w:tcPr>
            <w:tcW w:type="dxa" w:w="4997"/>
            <w:vAlign w:val="center"/>
            <w:shd w:fill="F0F5F7"/>
          </w:tcPr>
          <w:p>
            <w:pPr>
              <w:spacing w:after="20"/>
            </w:pPr>
            <w:r>
              <w:rPr>
                <w:sz w:val="16"/>
              </w:rPr>
              <w:t>Recovery/receivable, adjustments and customer refund tracked</w:t>
            </w:r>
          </w:p>
        </w:tc>
      </w:tr>
    </w:tbl>
    <w:p/>
    <w:p>
      <w:pPr>
        <w:pStyle w:val="Heading2"/>
        <w:keepNext/>
        <w:spacing w:before="240"/>
      </w:pPr>
      <w:r>
        <w:t>78. Launch readiness scorecard and founder weekly review</w:t>
      </w:r>
    </w:p>
    <w:tbl>
      <w:tblPr>
        <w:tblStyle w:val="TableGrid"/>
        <w:tblW w:type="auto" w:w="0"/>
        <w:jc w:val="center"/>
        <w:tblLayout w:type="autofit"/>
        <w:tblLook w:firstColumn="1" w:firstRow="1" w:lastColumn="0" w:lastRow="0" w:noHBand="0" w:noVBand="1" w:val="04A0"/>
      </w:tblPr>
      <w:tblGrid>
        <w:gridCol w:w="4997"/>
        <w:gridCol w:w="4997"/>
      </w:tblGrid>
      <w:tr>
        <w:trPr>
          <w:tblHeader w:val="true"/>
        </w:trPr>
        <w:tc>
          <w:tcPr>
            <w:tcW w:type="dxa" w:w="4997"/>
            <w:shd w:fill="164A60"/>
          </w:tcPr>
          <w:p>
            <w:r>
              <w:rPr>
                <w:b/>
                <w:color w:val="FFFFFF"/>
                <w:sz w:val="16"/>
              </w:rPr>
              <w:t>Area</w:t>
            </w:r>
          </w:p>
        </w:tc>
        <w:tc>
          <w:tcPr>
            <w:tcW w:type="dxa" w:w="4997"/>
            <w:shd w:fill="164A60"/>
          </w:tcPr>
          <w:p>
            <w:r>
              <w:rPr>
                <w:b/>
                <w:color w:val="FFFFFF"/>
                <w:sz w:val="16"/>
              </w:rPr>
              <w:t>Go-live gate / operating target</w:t>
            </w:r>
          </w:p>
        </w:tc>
      </w:tr>
      <w:tr>
        <w:tc>
          <w:tcPr>
            <w:tcW w:type="dxa" w:w="4997"/>
            <w:vAlign w:val="center"/>
          </w:tcPr>
          <w:p>
            <w:pPr>
              <w:spacing w:after="20"/>
            </w:pPr>
            <w:r>
              <w:rPr>
                <w:sz w:val="16"/>
              </w:rPr>
              <w:t>Compliance</w:t>
            </w:r>
          </w:p>
        </w:tc>
        <w:tc>
          <w:tcPr>
            <w:tcW w:type="dxa" w:w="4997"/>
            <w:vAlign w:val="center"/>
          </w:tcPr>
          <w:p>
            <w:pPr>
              <w:spacing w:after="20"/>
            </w:pPr>
            <w:r>
              <w:rPr>
                <w:sz w:val="16"/>
              </w:rPr>
              <w:t>Registered entity, CA-approved GST flows, seller terms, contracts and gateway approval</w:t>
            </w:r>
          </w:p>
        </w:tc>
      </w:tr>
      <w:tr>
        <w:tc>
          <w:tcPr>
            <w:tcW w:type="dxa" w:w="4997"/>
            <w:vAlign w:val="center"/>
            <w:shd w:fill="F0F5F7"/>
          </w:tcPr>
          <w:p>
            <w:pPr>
              <w:spacing w:after="20"/>
            </w:pPr>
            <w:r>
              <w:rPr>
                <w:sz w:val="16"/>
              </w:rPr>
              <w:t>Inventory</w:t>
            </w:r>
          </w:p>
        </w:tc>
        <w:tc>
          <w:tcPr>
            <w:tcW w:type="dxa" w:w="4997"/>
            <w:vAlign w:val="center"/>
            <w:shd w:fill="F0F5F7"/>
          </w:tcPr>
          <w:p>
            <w:pPr>
              <w:spacing w:after="20"/>
            </w:pPr>
            <w:r>
              <w:rPr>
                <w:sz w:val="16"/>
              </w:rPr>
              <w:t>Supplier and live departures verified; accurate quotas and blackout sync</w:t>
            </w:r>
          </w:p>
        </w:tc>
      </w:tr>
      <w:tr>
        <w:tc>
          <w:tcPr>
            <w:tcW w:type="dxa" w:w="4997"/>
            <w:vAlign w:val="center"/>
          </w:tcPr>
          <w:p>
            <w:pPr>
              <w:spacing w:after="20"/>
            </w:pPr>
            <w:r>
              <w:rPr>
                <w:sz w:val="16"/>
              </w:rPr>
              <w:t>Price</w:t>
            </w:r>
          </w:p>
        </w:tc>
        <w:tc>
          <w:tcPr>
            <w:tcW w:type="dxa" w:w="4997"/>
            <w:vAlign w:val="center"/>
          </w:tcPr>
          <w:p>
            <w:pPr>
              <w:spacing w:after="20"/>
            </w:pPr>
            <w:r>
              <w:rPr>
                <w:sz w:val="16"/>
              </w:rPr>
              <w:t>Immutable quote, all mandatory fees/taxes shown before payment</w:t>
            </w:r>
          </w:p>
        </w:tc>
      </w:tr>
      <w:tr>
        <w:tc>
          <w:tcPr>
            <w:tcW w:type="dxa" w:w="4997"/>
            <w:vAlign w:val="center"/>
            <w:shd w:fill="F0F5F7"/>
          </w:tcPr>
          <w:p>
            <w:pPr>
              <w:spacing w:after="20"/>
            </w:pPr>
            <w:r>
              <w:rPr>
                <w:sz w:val="16"/>
              </w:rPr>
              <w:t>Payment</w:t>
            </w:r>
          </w:p>
        </w:tc>
        <w:tc>
          <w:tcPr>
            <w:tcW w:type="dxa" w:w="4997"/>
            <w:vAlign w:val="center"/>
            <w:shd w:fill="F0F5F7"/>
          </w:tcPr>
          <w:p>
            <w:pPr>
              <w:spacing w:after="20"/>
            </w:pPr>
            <w:r>
              <w:rPr>
                <w:sz w:val="16"/>
              </w:rPr>
              <w:t>Sandbox payment capture, webhook signature, idempotency and reconciliation pass</w:t>
            </w:r>
          </w:p>
        </w:tc>
      </w:tr>
      <w:tr>
        <w:tc>
          <w:tcPr>
            <w:tcW w:type="dxa" w:w="4997"/>
            <w:vAlign w:val="center"/>
          </w:tcPr>
          <w:p>
            <w:pPr>
              <w:spacing w:after="20"/>
            </w:pPr>
            <w:r>
              <w:rPr>
                <w:sz w:val="16"/>
              </w:rPr>
              <w:t>Refund</w:t>
            </w:r>
          </w:p>
        </w:tc>
        <w:tc>
          <w:tcPr>
            <w:tcW w:type="dxa" w:w="4997"/>
            <w:vAlign w:val="center"/>
          </w:tcPr>
          <w:p>
            <w:pPr>
              <w:spacing w:after="20"/>
            </w:pPr>
            <w:r>
              <w:rPr>
                <w:sz w:val="16"/>
              </w:rPr>
              <w:t>Customer-facing terms and successfully tested refund/chargeback workflow</w:t>
            </w:r>
          </w:p>
        </w:tc>
      </w:tr>
      <w:tr>
        <w:tc>
          <w:tcPr>
            <w:tcW w:type="dxa" w:w="4997"/>
            <w:vAlign w:val="center"/>
            <w:shd w:fill="F0F5F7"/>
          </w:tcPr>
          <w:p>
            <w:pPr>
              <w:spacing w:after="20"/>
            </w:pPr>
            <w:r>
              <w:rPr>
                <w:sz w:val="16"/>
              </w:rPr>
              <w:t>Vendor</w:t>
            </w:r>
          </w:p>
        </w:tc>
        <w:tc>
          <w:tcPr>
            <w:tcW w:type="dxa" w:w="4997"/>
            <w:vAlign w:val="center"/>
            <w:shd w:fill="F0F5F7"/>
          </w:tcPr>
          <w:p>
            <w:pPr>
              <w:spacing w:after="20"/>
            </w:pPr>
            <w:r>
              <w:rPr>
                <w:sz w:val="16"/>
              </w:rPr>
              <w:t>KYB and payout token verified; bank references and exceptions monitored</w:t>
            </w:r>
          </w:p>
        </w:tc>
      </w:tr>
      <w:tr>
        <w:tc>
          <w:tcPr>
            <w:tcW w:type="dxa" w:w="4997"/>
            <w:vAlign w:val="center"/>
          </w:tcPr>
          <w:p>
            <w:pPr>
              <w:spacing w:after="20"/>
            </w:pPr>
            <w:r>
              <w:rPr>
                <w:sz w:val="16"/>
              </w:rPr>
              <w:t>Security</w:t>
            </w:r>
          </w:p>
        </w:tc>
        <w:tc>
          <w:tcPr>
            <w:tcW w:type="dxa" w:w="4997"/>
            <w:vAlign w:val="center"/>
          </w:tcPr>
          <w:p>
            <w:pPr>
              <w:spacing w:after="20"/>
            </w:pPr>
            <w:r>
              <w:rPr>
                <w:sz w:val="16"/>
              </w:rPr>
              <w:t>MFA admin, secret handling, backups, privacy notices and access controls</w:t>
            </w:r>
          </w:p>
        </w:tc>
      </w:tr>
      <w:tr>
        <w:tc>
          <w:tcPr>
            <w:tcW w:type="dxa" w:w="4997"/>
            <w:vAlign w:val="center"/>
            <w:shd w:fill="F0F5F7"/>
          </w:tcPr>
          <w:p>
            <w:pPr>
              <w:spacing w:after="20"/>
            </w:pPr>
            <w:r>
              <w:rPr>
                <w:sz w:val="16"/>
              </w:rPr>
              <w:t>Quality</w:t>
            </w:r>
          </w:p>
        </w:tc>
        <w:tc>
          <w:tcPr>
            <w:tcW w:type="dxa" w:w="4997"/>
            <w:vAlign w:val="center"/>
            <w:shd w:fill="F0F5F7"/>
          </w:tcPr>
          <w:p>
            <w:pPr>
              <w:spacing w:after="20"/>
            </w:pPr>
            <w:r>
              <w:rPr>
                <w:sz w:val="16"/>
              </w:rPr>
              <w:t>Monitored 100% of early paid orders; measured fulfillment and loss sources</w:t>
            </w:r>
          </w:p>
        </w:tc>
      </w:tr>
      <w:tr>
        <w:tc>
          <w:tcPr>
            <w:tcW w:type="dxa" w:w="4997"/>
            <w:vAlign w:val="center"/>
          </w:tcPr>
          <w:p>
            <w:pPr>
              <w:spacing w:after="20"/>
            </w:pPr>
            <w:r>
              <w:rPr>
                <w:sz w:val="16"/>
              </w:rPr>
              <w:t>Economics</w:t>
            </w:r>
          </w:p>
        </w:tc>
        <w:tc>
          <w:tcPr>
            <w:tcW w:type="dxa" w:w="4997"/>
            <w:vAlign w:val="center"/>
          </w:tcPr>
          <w:p>
            <w:pPr>
              <w:spacing w:after="20"/>
            </w:pPr>
            <w:r>
              <w:rPr>
                <w:sz w:val="16"/>
              </w:rPr>
              <w:t>Per-booking contribution positive in target mix; fixed-cost runway forecast</w:t>
            </w:r>
          </w:p>
        </w:tc>
      </w:tr>
    </w:tbl>
    <w:p/>
    <w:p>
      <w:pPr>
        <w:spacing w:after="100"/>
      </w:pPr>
      <w:r>
        <w:t>Weekly founder review: 1) total visits and search-to-quote conversion; 2) paid/fulfilled bookings; 3) supplier reliability; 4) customer acquisition and repeat usage; 5) contribution after all direct costs; 6) open refunds, holds and unpaid supplier amounts; 7) highest-impact next improvement. Grow employees after repeatable demand and defensible margins, not from gross payment volume alone.</w:t>
      </w:r>
    </w:p>
    <w:p>
      <w:pPr>
        <w:pStyle w:val="Heading2"/>
        <w:keepNext/>
        <w:spacing w:before="240"/>
      </w:pPr>
      <w:r>
        <w:t>79. Known unknowns — decide before production implementation</w:t>
      </w:r>
    </w:p>
    <w:p>
      <w:pPr>
        <w:pStyle w:val="ListBullet"/>
        <w:spacing w:after="40"/>
      </w:pPr>
      <w:r>
        <w:t>Which country is TripRaft incorporated in, and which entity/bank receives customer payments?</w:t>
      </w:r>
    </w:p>
    <w:p>
      <w:pPr>
        <w:pStyle w:val="ListBullet"/>
        <w:spacing w:after="40"/>
      </w:pPr>
      <w:r>
        <w:t>Does TripRaft act as seller, e-commerce operator, commission agent, or mix, and how is each contract classified under current law?</w:t>
      </w:r>
    </w:p>
    <w:p>
      <w:pPr>
        <w:pStyle w:val="ListBullet"/>
        <w:spacing w:after="40"/>
      </w:pPr>
      <w:r>
        <w:t>Are supplier ₹13,500 quotes plus GST or including GST; is GST rate 5%, 18% or another appropriate treatment for each service?</w:t>
      </w:r>
    </w:p>
    <w:p>
      <w:pPr>
        <w:pStyle w:val="ListBullet"/>
        <w:spacing w:after="40"/>
      </w:pPr>
      <w:r>
        <w:t>Can supplier GST credits be used by TripRaft under a qualifying operator rate; what invoice and ITC evidence is required?</w:t>
      </w:r>
    </w:p>
    <w:p>
      <w:pPr>
        <w:pStyle w:val="ListBullet"/>
        <w:spacing w:after="40"/>
      </w:pPr>
      <w:r>
        <w:t>Are operators allowed to distribute below their offline retail price, and can the platform control discounts?</w:t>
      </w:r>
    </w:p>
    <w:p>
      <w:pPr>
        <w:pStyle w:val="ListBullet"/>
        <w:spacing w:after="40"/>
      </w:pPr>
      <w:r>
        <w:t>Which marketplace provider approves the specific travel, settlement timing, partner geography and card-saving use case?</w:t>
      </w:r>
    </w:p>
    <w:p>
      <w:pPr>
        <w:pStyle w:val="ListBullet"/>
        <w:spacing w:after="40"/>
      </w:pPr>
      <w:r>
        <w:t>Will pilot inventory be exclusively allocated, request-to-book, or synchronized via provider API?</w:t>
      </w:r>
    </w:p>
    <w:p>
      <w:pPr>
        <w:pStyle w:val="ListBullet"/>
        <w:spacing w:after="40"/>
      </w:pPr>
      <w:r>
        <w:t>What is TripRaft’s target profit contribution per order after nonrecoverable costs and minimum marketing allocation?</w:t>
      </w:r>
    </w:p>
    <w:p>
      <w:pPr>
        <w:pStyle w:val="Heading2"/>
        <w:keepNext/>
        <w:spacing w:before="240"/>
      </w:pPr>
      <w:r>
        <w:t>80. Implementation dependencies and engineering deliverables</w:t>
      </w:r>
    </w:p>
    <w:p>
      <w:pPr>
        <w:spacing w:after="100"/>
      </w:pPr>
      <w:r>
        <w:t>Recommended build-order: supplier_contracts and seller authority -&gt; offers/departures -&gt; tax/rate policy engine -&gt; immutable quote -&gt; atomic seat holds -&gt; gateway sandbox -&gt; supplier reservation -&gt; confirmation and invoices -&gt; payouts/recon -&gt; post-booking support -&gt; dynamic pricing -&gt; external travel API integrations -&gt; repeat analytics -&gt; premium AI features.</w:t>
      </w:r>
    </w:p>
    <w:p>
      <w:pPr>
        <w:spacing w:after="100"/>
      </w:pPr>
      <w:r>
        <w:t>Engineering deliverables: migration scripts and rollback plan; OpenAPI spec with sample payloads; payment provider adapters with sandbox fixtures; supplier dashboard PRDs; quote/tax business rules signed off by accountant; exception reporting; monitoring; on-call runbooks; production and staging secrets separation; a launch checklist signed by engineering, operations, legal/accounting and payment provider.</w:t>
      </w:r>
    </w:p>
    <w:p>
      <w:pPr>
        <w:pStyle w:val="Heading2"/>
        <w:keepNext/>
        <w:spacing w:before="240"/>
      </w:pPr>
      <w:r>
        <w:t>81. Relevant official documentation (validate current versions before launch)</w:t>
      </w:r>
    </w:p>
    <w:p>
      <w:pPr>
        <w:spacing w:after="100"/>
      </w:pPr>
      <w:r>
        <w:t>[S1] Central Board of Indirect Taxes &amp; Customs (CBIC), GST goods and services rates, conditional tour-operator services: https://cbic-gst.gov.in/gst-goods-services-rates.html</w:t>
      </w:r>
    </w:p>
    <w:p>
      <w:pPr>
        <w:spacing w:after="100"/>
      </w:pPr>
      <w:r>
        <w:t>[S2] Razorpay Route (linked accounts, transfers, settlement holds): https://razorpay.com/route/</w:t>
      </w:r>
    </w:p>
    <w:p>
      <w:pPr>
        <w:spacing w:after="100"/>
      </w:pPr>
      <w:r>
        <w:t>[S3] Cashfree Easy Split API overview (splits, vendor settlement and reconciliation): https://www.cashfree.com/docs/api-reference/payments/latest/split/easy-split-overview</w:t>
      </w:r>
    </w:p>
    <w:p>
      <w:pPr>
        <w:spacing w:after="100"/>
      </w:pPr>
      <w:r>
        <w:t>[S4] Razorpay Python checkout integration / verify signature and captured status: https://razorpay.com/docs/server-integration/python/test-app/</w:t>
      </w:r>
    </w:p>
    <w:p>
      <w:pPr>
        <w:spacing w:after="100"/>
      </w:pPr>
      <w:r>
        <w:t>[S5] Reserve Bank of India, restriction on storage of actual card data: https://www.rbi.org.in/scripts/NotificationUser.aspx?Id=12345</w:t>
      </w:r>
    </w:p>
    <w:p>
      <w:pPr>
        <w:spacing w:after="100"/>
      </w:pPr>
      <w:r>
        <w:t>[S6] Expedia Rapid shopping: live hotel rate and availability caveats: https://developers.expediagroup.com/rapid/lodging/shopping/about-shopping-api</w:t>
      </w:r>
    </w:p>
    <w:p>
      <w:pPr>
        <w:spacing w:after="100"/>
      </w:pPr>
      <w:r>
        <w:t>[S7] Expedia Rapid getting started (partner and production approval): https://developers.expediagroup.com/rapid/setup</w:t>
      </w:r>
    </w:p>
    <w:p>
      <w:pPr>
        <w:spacing w:after="100"/>
      </w:pPr>
      <w:r>
        <w:t>[S8] Stripe Connect separate charges/transfers and region restrictions: https://docs.stripe.com/connect/separate-charges-and-transfers</w:t>
      </w:r>
    </w:p>
    <w:p>
      <w:pPr>
        <w:spacing w:after="100"/>
      </w:pPr>
      <w:r>
        <w:t>[S9] Cashfree split product and pricing: https://www.cashfree.com/easy-split/split-payment-gateway/</w:t>
      </w:r>
    </w:p>
    <w:p>
      <w:pPr>
        <w:spacing w:after="100"/>
      </w:pPr>
      <w:r>
        <w:t>Sources are linked for product capabilities and general legal/tax reference; they do not replace TripRaft-specific payment approval, tax opinions, signed provider price sheets or qualified legal/accounting guidance. No external provider has approved TripRaft through this document.</w:t>
      </w:r>
    </w:p>
    <w:p>
      <w:pPr>
        <w:pStyle w:val="Heading1"/>
      </w:pPr>
      <w:r>
        <w:t>APPENDIX A — DOMAIN CHECKLIST</w:t>
      </w:r>
    </w:p>
    <w:p>
      <w:pPr>
        <w:pStyle w:val="Heading2"/>
      </w:pPr>
      <w:r>
        <w:rPr>
          <w:b w:val="0"/>
          <w:i w:val="0"/>
        </w:rPr>
        <w:t>A1. Customer and booking fields</w:t>
      </w:r>
    </w:p>
    <w:p>
      <w:pPr>
        <w:widowControl/>
      </w:pPr>
      <w:r>
        <w:rPr>
          <w:b w:val="0"/>
          <w:i w:val="0"/>
        </w:rPr>
        <w:t>Customer account; verified contact; consent flags; group and payer references; preferred language/currency; traveler legal names as needed; date of birth only if supplier requires; accessibility requirements on a need-to-know basis; emergency contact where justified; booking IDs and voucher identifiers; cancellation accepted timestamp; country-specific invoicing details; supplier booking reference; quote provenance and expiry; payment, refund and payout identifiers; support case lifecycle; audit metadata.</w:t>
      </w:r>
    </w:p>
    <w:p>
      <w:pPr>
        <w:pStyle w:val="Heading2"/>
      </w:pPr>
      <w:r>
        <w:rPr>
          <w:b w:val="0"/>
          <w:i w:val="0"/>
        </w:rPr>
        <w:t>A2. Supplier inventory fields</w:t>
      </w:r>
    </w:p>
    <w:p>
      <w:pPr>
        <w:widowControl/>
      </w:pPr>
      <w:r>
        <w:rPr>
          <w:b w:val="0"/>
          <w:i w:val="0"/>
        </w:rPr>
        <w:t>Supplier business ID; contract ID/version; product; departure; time zone; capacity; units; assigned/confirmed/held counts; sellable source mode; last sync; blackout status; price list and net rate; rate plan; traveler band; required inclusions; pickup points; cancellation deadlines; guaranteed allotment; supplier hold reference; cut-off date; supervisor override reason; modification history and operator-supplied evidence.</w:t>
      </w:r>
    </w:p>
    <w:p>
      <w:pPr>
        <w:pStyle w:val="Heading2"/>
      </w:pPr>
      <w:r>
        <w:rPr>
          <w:b w:val="0"/>
          <w:i w:val="0"/>
        </w:rPr>
        <w:t>A3. Observability and security fields</w:t>
      </w:r>
    </w:p>
    <w:p>
      <w:pPr>
        <w:widowControl/>
      </w:pPr>
      <w:r>
        <w:rPr>
          <w:b w:val="0"/>
          <w:i w:val="0"/>
        </w:rPr>
        <w:t>Request/correlation IDs; actor and tenant ID; provider and external IDs; payload hash; event signature verification outcome; idempotency key; inventory version; quote version; gateway status and last recheck; reconciliation outcome; bank settlement reference/UTR when available; notification attempts; supplier acknowledgement timestamps; supplier fraud/risk flags; PII data classification; retention policy and audit retention.</w:t>
      </w:r>
    </w:p>
    <w:p>
      <w:r>
        <w:br w:type="page"/>
      </w:r>
    </w:p>
    <w:p>
      <w:pPr>
        <w:pStyle w:val="Heading1"/>
      </w:pPr>
      <w:r>
        <w:t>APPENDIX B — KEY ACCEPTANCE CRITERIA BY ROLE</w:t>
      </w:r>
    </w:p>
    <w:p>
      <w:pPr>
        <w:pStyle w:val="Heading2"/>
      </w:pPr>
      <w:r>
        <w:rPr>
          <w:b w:val="0"/>
          <w:i w:val="0"/>
        </w:rPr>
        <w:t>B1. Traveler</w:t>
      </w:r>
    </w:p>
    <w:p>
      <w:pPr>
        <w:widowControl/>
      </w:pPr>
      <w:r>
        <w:rPr>
          <w:b w:val="0"/>
          <w:i w:val="0"/>
        </w:rPr>
        <w:t>Can distinguish an estimate from payable checkout price; sees total fees; can verify whether a booking is pending versus confirmed; can download trip confirmation; can request cancellation per visible policy; saved payment details are optional and removable; trip/group privacy boundaries are clear.</w:t>
      </w:r>
    </w:p>
    <w:p>
      <w:pPr>
        <w:pStyle w:val="Heading2"/>
      </w:pPr>
      <w:r>
        <w:rPr>
          <w:b w:val="0"/>
          <w:i w:val="0"/>
        </w:rPr>
        <w:t>B2. Supplier</w:t>
      </w:r>
    </w:p>
    <w:p>
      <w:pPr>
        <w:widowControl/>
      </w:pPr>
      <w:r>
        <w:rPr>
          <w:b w:val="0"/>
          <w:i w:val="0"/>
        </w:rPr>
        <w:t>Can onboard without building an API; receives accurate booking manifest only after authorized access; has visibility into confirmation requests and payout milestones; can safely correct inventory; can see rejected/pending bank-verification reason without viewing other suppliers' finances.</w:t>
      </w:r>
    </w:p>
    <w:p>
      <w:pPr>
        <w:pStyle w:val="Heading2"/>
      </w:pPr>
      <w:r>
        <w:rPr>
          <w:b w:val="0"/>
          <w:i w:val="0"/>
        </w:rPr>
        <w:t>B3. Finance / operator admin</w:t>
      </w:r>
    </w:p>
    <w:p>
      <w:pPr>
        <w:widowControl/>
      </w:pPr>
      <w:r>
        <w:rPr>
          <w:b w:val="0"/>
          <w:i w:val="0"/>
        </w:rPr>
        <w:t>Can trace every captured payment to one booking, contract, supplier payable and settlement; can replay a webhook safely; can reconcile failed transfers; can identify overbooking; can freeze a supplier; can operate refunds with approval; has immutable audit logs for rate and payout changes.</w:t>
      </w:r>
    </w:p>
    <w:p>
      <w:pPr>
        <w:pStyle w:val="Heading2"/>
      </w:pPr>
      <w:r>
        <w:rPr>
          <w:b w:val="0"/>
          <w:i w:val="0"/>
        </w:rPr>
        <w:t>B4. AI agent</w:t>
      </w:r>
    </w:p>
    <w:p>
      <w:pPr>
        <w:widowControl/>
      </w:pPr>
      <w:r>
        <w:rPr>
          <w:b w:val="0"/>
          <w:i w:val="0"/>
        </w:rPr>
        <w:t>Can retrieve place descriptions with provenance; can create draft proposals in authorized workspace; cannot invent seats or final prices; cannot execute money-moving actions without the proper authorization and transaction API; never reveals private documents or sensitive financial fields to unauthorized users.</w:t>
      </w:r>
    </w:p>
    <w:p>
      <w:r>
        <w:br w:type="page"/>
      </w:r>
    </w:p>
    <w:p>
      <w:pPr>
        <w:pStyle w:val="Heading1"/>
      </w:pPr>
      <w:r>
        <w:t>APPENDIX C — IMPORTANT DISTINCTIONS</w:t>
      </w:r>
    </w:p>
    <w:tbl>
      <w:tblPr>
        <w:tblStyle w:val="TableGrid"/>
        <w:tblW w:type="auto" w:w="0"/>
        <w:jc w:val="center"/>
        <w:tblLayout w:type="fixed"/>
        <w:tblLook w:firstColumn="1" w:firstRow="1" w:lastColumn="0" w:lastRow="0" w:noHBand="0" w:noVBand="1" w:val="04A0"/>
        <w:tblBorders>
          <w:top w:val="single" w:sz="4" w:color="D7E2E8"/>
          <w:left w:val="single" w:sz="4" w:color="D7E2E8"/>
          <w:bottom w:val="single" w:sz="4" w:color="D7E2E8"/>
          <w:right w:val="single" w:sz="4" w:color="D7E2E8"/>
          <w:insideH w:val="single" w:sz="4" w:color="D7E2E8"/>
          <w:insideV w:val="single" w:sz="4" w:color="D7E2E8"/>
        </w:tblBorders>
      </w:tblPr>
      <w:tblGrid>
        <w:gridCol w:w="3382"/>
        <w:gridCol w:w="6281"/>
      </w:tblGrid>
      <w:tr>
        <w:trPr>
          <w:tblHeader w:val="true"/>
        </w:trPr>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Term</w:t>
            </w:r>
          </w:p>
        </w:tc>
        <w:tc>
          <w:tcPr>
            <w:tcW w:type="dxa" w:w="4831"/>
            <w:vAlign w:val="center"/>
            <w:tcMar>
              <w:top w:w="85" w:type="dxa"/>
              <w:start w:w="95" w:type="dxa"/>
              <w:bottom w:w="85" w:type="dxa"/>
              <w:end w:w="95" w:type="dxa"/>
            </w:tcMar>
            <w:shd w:fill="17324D"/>
          </w:tcPr>
          <w:p>
            <w:pPr>
              <w:pStyle w:val="TableText"/>
              <w:spacing w:after="0"/>
            </w:pPr>
            <w:r>
              <w:rPr>
                <w:b/>
                <w:color w:val="FFFFFF"/>
                <w:sz w:val="16"/>
              </w:rPr>
            </w:r>
            <w:r>
              <w:rPr>
                <w:b/>
                <w:i w:val="0"/>
                <w:color w:val="FFFFFF"/>
                <w:sz w:val="16"/>
              </w:rPr>
              <w:t>Correct interpretation</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Place listing</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Static destination content; not proof a ticket/package is available</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Available seats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Inventory owned or authoritatively reported for particular departure/time</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Quote</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Time-limited priced offer before final booking</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Seat hold</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Temporary inventory reservation; not cash custody</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Authorized payment</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Payment method authorized; may not be captured or bank-settled</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Captured payment</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Provider confirms charge/capture; not automatically available in bank</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Payout instruction</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Request to move vendor money, may be pending/failed</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Bank reconciliation</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Final matching of provider settlement and bank receipt</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Gross contribution</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Customer price less supplier net payout, before platform costs</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Dynamic pricing</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Market/inventory-driven offer adjustments, not repeat-search punishment</w:t>
            </w:r>
          </w:p>
        </w:tc>
      </w:tr>
      <w:tr>
        <w:trPr>
          <w:cantSplit/>
        </w:trPr>
        <w:tc>
          <w:tcPr>
            <w:tcW w:type="dxa" w:w="3382"/>
            <w:vAlign w:val="center"/>
            <w:tcMar>
              <w:top w:w="85" w:type="dxa"/>
              <w:start w:w="95" w:type="dxa"/>
              <w:bottom w:w="85" w:type="dxa"/>
              <w:end w:w="95" w:type="dxa"/>
            </w:tcMar>
          </w:tcPr>
          <w:p>
            <w:pPr>
              <w:pStyle w:val="TableText"/>
              <w:spacing w:after="0"/>
            </w:pPr>
            <w:r>
              <w:rPr>
                <w:sz w:val="16"/>
              </w:rPr>
            </w:r>
            <w:r>
              <w:rPr>
                <w:b w:val="0"/>
                <w:i w:val="0"/>
                <w:sz w:val="16"/>
              </w:rPr>
              <w:t>Card token</w:t>
            </w:r>
          </w:p>
        </w:tc>
        <w:tc>
          <w:tcPr>
            <w:tcW w:type="dxa" w:w="6281"/>
            <w:vAlign w:val="center"/>
            <w:tcMar>
              <w:top w:w="85" w:type="dxa"/>
              <w:start w:w="95" w:type="dxa"/>
              <w:bottom w:w="85" w:type="dxa"/>
              <w:end w:w="95" w:type="dxa"/>
            </w:tcMar>
          </w:tcPr>
          <w:p>
            <w:pPr>
              <w:pStyle w:val="TableText"/>
              <w:spacing w:after="0"/>
            </w:pPr>
            <w:r>
              <w:rPr>
                <w:sz w:val="16"/>
              </w:rPr>
            </w:r>
            <w:r>
              <w:rPr>
                <w:b w:val="0"/>
                <w:i w:val="0"/>
                <w:sz w:val="16"/>
              </w:rPr>
              <w:t>Provider reference used with rules/consent, not raw card number</w:t>
            </w:r>
          </w:p>
        </w:tc>
      </w:tr>
      <w:tr>
        <w:trPr>
          <w:cantSplit/>
        </w:trPr>
        <w:tc>
          <w:tcPr>
            <w:tcW w:type="dxa" w:w="3382"/>
            <w:vAlign w:val="center"/>
            <w:tcMar>
              <w:top w:w="85" w:type="dxa"/>
              <w:start w:w="95" w:type="dxa"/>
              <w:bottom w:w="85" w:type="dxa"/>
              <w:end w:w="95" w:type="dxa"/>
            </w:tcMar>
            <w:shd w:fill="F3F7FA"/>
          </w:tcPr>
          <w:p>
            <w:pPr>
              <w:pStyle w:val="TableText"/>
              <w:spacing w:after="0"/>
            </w:pPr>
            <w:r>
              <w:rPr>
                <w:sz w:val="16"/>
              </w:rPr>
            </w:r>
            <w:r>
              <w:rPr>
                <w:b w:val="0"/>
                <w:i w:val="0"/>
                <w:sz w:val="16"/>
              </w:rPr>
              <w:t>Source freshness</w:t>
            </w:r>
          </w:p>
        </w:tc>
        <w:tc>
          <w:tcPr>
            <w:tcW w:type="dxa" w:w="6281"/>
            <w:vAlign w:val="center"/>
            <w:tcMar>
              <w:top w:w="85" w:type="dxa"/>
              <w:start w:w="95" w:type="dxa"/>
              <w:bottom w:w="85" w:type="dxa"/>
              <w:end w:w="95" w:type="dxa"/>
            </w:tcMar>
            <w:shd w:fill="F3F7FA"/>
          </w:tcPr>
          <w:p>
            <w:pPr>
              <w:pStyle w:val="TableText"/>
              <w:spacing w:after="0"/>
            </w:pPr>
            <w:r>
              <w:rPr>
                <w:sz w:val="16"/>
              </w:rPr>
            </w:r>
            <w:r>
              <w:rPr>
                <w:b w:val="0"/>
                <w:i w:val="0"/>
                <w:sz w:val="16"/>
              </w:rPr>
              <w:t>When pricing/availability/source statement was last verified</w:t>
            </w:r>
          </w:p>
        </w:tc>
      </w:tr>
    </w:tbl>
    <w:p>
      <w:pPr>
        <w:spacing w:after="0"/>
      </w:pPr>
    </w:p>
    <w:p>
      <w:r>
        <w:br w:type="page"/>
      </w:r>
    </w:p>
    <w:p>
      <w:pPr>
        <w:pStyle w:val="Heading1"/>
      </w:pPr>
      <w:r>
        <w:t>APPENDIX D — VERIFIED REFERENCE LINKS &amp; RESEARCH NOTES</w:t>
      </w:r>
    </w:p>
    <w:p>
      <w:pPr>
        <w:widowControl/>
      </w:pPr>
      <w:r>
        <w:rPr>
          <w:b w:val="0"/>
          <w:i w:val="0"/>
        </w:rPr>
        <w:t>The references below are provider/regulatory documentation consulted for system design on 16 October 2026. API availability, terms, pricing, country support and legal rules can change; recheck them before commercial integration. This document is engineering/business planning guidance, not legal/tax/accounting advice.</w:t>
      </w:r>
    </w:p>
    <w:p>
      <w:pPr>
        <w:pStyle w:val="ListBullet"/>
        <w:widowControl/>
        <w:spacing w:after="60"/>
        <w:ind w:left="259"/>
      </w:pPr>
      <w:r>
        <w:rPr>
          <w:b/>
          <w:i w:val="0"/>
        </w:rPr>
        <w:t>[</w:t>
      </w:r>
      <w:r>
        <w:rPr>
          <w:b/>
          <w:i w:val="0"/>
        </w:rPr>
        <w:t>R1] Expedia Group Rapid Shopping API:</w:t>
      </w:r>
      <w:r>
        <w:rPr>
          <w:b w:val="0"/>
          <w:i w:val="0"/>
        </w:rPr>
        <w:t xml:space="preserve"> </w:t>
      </w:r>
      <w:r>
        <w:rPr>
          <w:b w:val="0"/>
          <w:i w:val="0"/>
          <w:color w:val="0869A2"/>
          <w:sz w:val="16"/>
          <w:u w:val="single"/>
        </w:rPr>
        <w:t>https://developers.expediagroup.com/rapid/lodging/shopping/about-shopping-api</w:t>
      </w:r>
      <w:r>
        <w:rPr>
          <w:b w:val="0"/>
          <w:i w:val="0"/>
        </w:rPr>
        <w:t xml:space="preserve"> — supplier-provided lodging rates, room availability and price breakdown.</w:t>
      </w:r>
    </w:p>
    <w:p>
      <w:pPr>
        <w:pStyle w:val="ListBullet"/>
        <w:widowControl/>
        <w:spacing w:after="60"/>
        <w:ind w:left="259"/>
      </w:pPr>
      <w:r>
        <w:rPr>
          <w:b/>
          <w:i w:val="0"/>
        </w:rPr>
        <w:t>[</w:t>
      </w:r>
      <w:r>
        <w:rPr>
          <w:b/>
          <w:i w:val="0"/>
        </w:rPr>
        <w:t>R2] Booking.com Demand API:</w:t>
      </w:r>
      <w:r>
        <w:rPr>
          <w:b w:val="0"/>
          <w:i w:val="0"/>
        </w:rPr>
        <w:t xml:space="preserve"> </w:t>
      </w:r>
      <w:r>
        <w:rPr>
          <w:b w:val="0"/>
          <w:i w:val="0"/>
          <w:color w:val="0869A2"/>
          <w:sz w:val="16"/>
          <w:u w:val="single"/>
        </w:rPr>
        <w:t>https://developers.booking.com/demand/docs/getting-started/overview</w:t>
      </w:r>
      <w:r>
        <w:rPr>
          <w:b w:val="0"/>
          <w:i w:val="0"/>
        </w:rPr>
        <w:t xml:space="preserve"> — content, look-and-redirect and eligible integrated booking flows; see also </w:t>
      </w:r>
      <w:r>
        <w:rPr>
          <w:b w:val="0"/>
          <w:i w:val="0"/>
          <w:color w:val="0869A2"/>
          <w:sz w:val="16"/>
          <w:u w:val="single"/>
        </w:rPr>
        <w:t>https://developers.booking.com/demand/docs/accommodations/about-accommodation.</w:t>
      </w:r>
    </w:p>
    <w:p>
      <w:pPr>
        <w:pStyle w:val="ListBullet"/>
        <w:widowControl/>
        <w:spacing w:after="60"/>
        <w:ind w:left="259"/>
      </w:pPr>
      <w:r>
        <w:rPr>
          <w:b/>
          <w:i w:val="0"/>
        </w:rPr>
        <w:t>[</w:t>
      </w:r>
      <w:r>
        <w:rPr>
          <w:b/>
          <w:i w:val="0"/>
        </w:rPr>
        <w:t>R3] Viator Partner API:</w:t>
      </w:r>
      <w:r>
        <w:rPr>
          <w:b w:val="0"/>
          <w:i w:val="0"/>
        </w:rPr>
        <w:t xml:space="preserve"> </w:t>
      </w:r>
      <w:r>
        <w:rPr>
          <w:b w:val="0"/>
          <w:i w:val="0"/>
          <w:color w:val="0869A2"/>
          <w:sz w:val="16"/>
          <w:u w:val="single"/>
        </w:rPr>
        <w:t>https://docs.viator.com/partner-api/technical/</w:t>
      </w:r>
      <w:r>
        <w:rPr>
          <w:b w:val="0"/>
          <w:i w:val="0"/>
        </w:rPr>
        <w:t xml:space="preserve"> — real-time availability, booking/price holds, product/pricing and confirmation types subject to partner access.</w:t>
      </w:r>
    </w:p>
    <w:p>
      <w:pPr>
        <w:pStyle w:val="ListBullet"/>
        <w:widowControl/>
        <w:spacing w:after="60"/>
        <w:ind w:left="259"/>
      </w:pPr>
      <w:r>
        <w:rPr>
          <w:b/>
          <w:i w:val="0"/>
        </w:rPr>
        <w:t>[</w:t>
      </w:r>
      <w:r>
        <w:rPr>
          <w:b/>
          <w:i w:val="0"/>
        </w:rPr>
        <w:t>R4] Razorpay Route:</w:t>
      </w:r>
      <w:r>
        <w:rPr>
          <w:b w:val="0"/>
          <w:i w:val="0"/>
        </w:rPr>
        <w:t xml:space="preserve"> </w:t>
      </w:r>
      <w:r>
        <w:rPr>
          <w:b w:val="0"/>
          <w:i w:val="0"/>
          <w:color w:val="0869A2"/>
          <w:sz w:val="16"/>
          <w:u w:val="single"/>
        </w:rPr>
        <w:t>https://razorpay.com/route/</w:t>
      </w:r>
      <w:r>
        <w:rPr>
          <w:b w:val="0"/>
          <w:i w:val="0"/>
        </w:rPr>
        <w:t xml:space="preserve"> — linked supplier accounts, transfer/split payment features, scheduled or held settlements, webhooks.</w:t>
      </w:r>
    </w:p>
    <w:p>
      <w:pPr>
        <w:pStyle w:val="ListBullet"/>
        <w:widowControl/>
        <w:spacing w:after="60"/>
        <w:ind w:left="259"/>
      </w:pPr>
      <w:r>
        <w:rPr>
          <w:b/>
          <w:i w:val="0"/>
        </w:rPr>
        <w:t>[</w:t>
      </w:r>
      <w:r>
        <w:rPr>
          <w:b/>
          <w:i w:val="0"/>
        </w:rPr>
        <w:t>R5] Razorpay Python payment integration:</w:t>
      </w:r>
      <w:r>
        <w:rPr>
          <w:b w:val="0"/>
          <w:i w:val="0"/>
        </w:rPr>
        <w:t xml:space="preserve"> </w:t>
      </w:r>
      <w:r>
        <w:rPr>
          <w:b w:val="0"/>
          <w:i w:val="0"/>
          <w:color w:val="0869A2"/>
          <w:sz w:val="16"/>
          <w:u w:val="single"/>
        </w:rPr>
        <w:t>https://razorpay.com/docs/server-integration/python/test-app/</w:t>
      </w:r>
      <w:r>
        <w:rPr>
          <w:b w:val="0"/>
          <w:i w:val="0"/>
        </w:rPr>
        <w:t xml:space="preserve"> — create order, verify signature, check payment capture, webhook/API fallback.</w:t>
      </w:r>
    </w:p>
    <w:p>
      <w:pPr>
        <w:pStyle w:val="ListBullet"/>
        <w:widowControl/>
        <w:spacing w:after="60"/>
        <w:ind w:left="259"/>
      </w:pPr>
      <w:r>
        <w:rPr>
          <w:b/>
          <w:i w:val="0"/>
        </w:rPr>
        <w:t>[</w:t>
      </w:r>
      <w:r>
        <w:rPr>
          <w:b/>
          <w:i w:val="0"/>
        </w:rPr>
        <w:t>R6] Cashfree Easy Split:</w:t>
      </w:r>
      <w:r>
        <w:rPr>
          <w:b w:val="0"/>
          <w:i w:val="0"/>
        </w:rPr>
        <w:t xml:space="preserve"> </w:t>
      </w:r>
      <w:r>
        <w:rPr>
          <w:b w:val="0"/>
          <w:i w:val="0"/>
          <w:color w:val="0869A2"/>
          <w:sz w:val="16"/>
          <w:u w:val="single"/>
        </w:rPr>
        <w:t>https://www.cashfree.com/docs/api-reference/payments/latest/split/easy-split-overview</w:t>
      </w:r>
      <w:r>
        <w:rPr>
          <w:b w:val="0"/>
          <w:i w:val="0"/>
        </w:rPr>
        <w:t xml:space="preserve"> — vendor management, split payments, settlement queries and reconciliation APIs.</w:t>
      </w:r>
    </w:p>
    <w:p>
      <w:pPr>
        <w:pStyle w:val="ListBullet"/>
        <w:widowControl/>
        <w:spacing w:after="60"/>
        <w:ind w:left="259"/>
      </w:pPr>
      <w:r>
        <w:rPr>
          <w:b/>
          <w:i w:val="0"/>
        </w:rPr>
        <w:t>[</w:t>
      </w:r>
      <w:r>
        <w:rPr>
          <w:b/>
          <w:i w:val="0"/>
        </w:rPr>
        <w:t>R7] Stripe Connect separate charges and transfers:</w:t>
      </w:r>
      <w:r>
        <w:rPr>
          <w:b w:val="0"/>
          <w:i w:val="0"/>
        </w:rPr>
        <w:t xml:space="preserve"> </w:t>
      </w:r>
      <w:r>
        <w:rPr>
          <w:b w:val="0"/>
          <w:i w:val="0"/>
          <w:color w:val="0869A2"/>
          <w:sz w:val="16"/>
          <w:u w:val="single"/>
        </w:rPr>
        <w:t>https://docs.stripe.com/connect/separate-charges-and-transfers</w:t>
      </w:r>
      <w:r>
        <w:rPr>
          <w:b w:val="0"/>
          <w:i w:val="0"/>
        </w:rPr>
        <w:t xml:space="preserve"> — marketplace structures, provider-account restrictions and delayed availability caveats.</w:t>
      </w:r>
    </w:p>
    <w:p>
      <w:pPr>
        <w:pStyle w:val="ListBullet"/>
        <w:widowControl/>
        <w:spacing w:after="60"/>
        <w:ind w:left="259"/>
      </w:pPr>
      <w:r>
        <w:rPr>
          <w:b/>
          <w:i w:val="0"/>
        </w:rPr>
        <w:t>[</w:t>
      </w:r>
      <w:r>
        <w:rPr>
          <w:b/>
          <w:i w:val="0"/>
        </w:rPr>
        <w:t>R8] PCI Security Standards Council, CVV storage FAQ:</w:t>
      </w:r>
      <w:r>
        <w:rPr>
          <w:b w:val="0"/>
          <w:i w:val="0"/>
        </w:rPr>
        <w:t xml:space="preserve"> </w:t>
      </w:r>
      <w:r>
        <w:rPr>
          <w:b w:val="0"/>
          <w:i w:val="0"/>
          <w:color w:val="0869A2"/>
          <w:sz w:val="16"/>
          <w:u w:val="single"/>
        </w:rPr>
        <w:t>https://www.pcisecuritystandards.org/faqs/1280/</w:t>
      </w:r>
      <w:r>
        <w:rPr>
          <w:b w:val="0"/>
          <w:i w:val="0"/>
        </w:rPr>
        <w:t xml:space="preserve"> — CVV cannot be stored after authorization.</w:t>
      </w:r>
    </w:p>
    <w:p>
      <w:pPr>
        <w:pStyle w:val="ListBullet"/>
        <w:widowControl/>
        <w:spacing w:after="60"/>
        <w:ind w:left="259"/>
      </w:pPr>
      <w:r>
        <w:rPr>
          <w:b/>
          <w:i w:val="0"/>
        </w:rPr>
        <w:t>[</w:t>
      </w:r>
      <w:r>
        <w:rPr>
          <w:b/>
          <w:i w:val="0"/>
        </w:rPr>
        <w:t>R9] India's Guidelines for Prevention and Regulation of Dark Patterns (2023):</w:t>
      </w:r>
      <w:r>
        <w:rPr>
          <w:b w:val="0"/>
          <w:i w:val="0"/>
        </w:rPr>
        <w:t xml:space="preserve"> </w:t>
      </w:r>
      <w:r>
        <w:rPr>
          <w:b w:val="0"/>
          <w:i w:val="0"/>
          <w:color w:val="0869A2"/>
          <w:sz w:val="16"/>
          <w:u w:val="single"/>
        </w:rPr>
        <w:t>https://consumeraffairs.nic.in/sites/default/files/The%20Guidelines%20for%20Prevention%20and%20Regulation%20of%20Dark%20Patterns%2C%202023.pdf</w:t>
      </w:r>
      <w:r>
        <w:rPr>
          <w:b w:val="0"/>
          <w:i w:val="0"/>
        </w:rPr>
        <w:t xml:space="preserve"> — false urgency, drip pricing and related issues; request jurisdictional counsel.</w:t>
      </w:r>
    </w:p>
    <w:p>
      <w:pPr>
        <w:pStyle w:val="ListBullet"/>
        <w:widowControl/>
        <w:spacing w:after="60"/>
        <w:ind w:left="259"/>
      </w:pPr>
      <w:r>
        <w:rPr>
          <w:b/>
          <w:i w:val="0"/>
        </w:rPr>
        <w:t>[</w:t>
      </w:r>
      <w:r>
        <w:rPr>
          <w:b/>
          <w:i w:val="0"/>
        </w:rPr>
        <w:t>R10] Frankfurter API licensing and data:</w:t>
      </w:r>
      <w:r>
        <w:rPr>
          <w:b w:val="0"/>
          <w:i w:val="0"/>
        </w:rPr>
        <w:t xml:space="preserve"> </w:t>
      </w:r>
      <w:r>
        <w:rPr>
          <w:b w:val="0"/>
          <w:i w:val="0"/>
          <w:color w:val="0869A2"/>
          <w:sz w:val="16"/>
          <w:u w:val="single"/>
        </w:rPr>
        <w:t>https://frankfurter.dev/</w:t>
      </w:r>
      <w:r>
        <w:rPr>
          <w:b w:val="0"/>
          <w:i w:val="0"/>
        </w:rPr>
        <w:t xml:space="preserve"> and </w:t>
      </w:r>
      <w:r>
        <w:rPr>
          <w:b w:val="0"/>
          <w:i w:val="0"/>
          <w:color w:val="0869A2"/>
          <w:sz w:val="16"/>
          <w:u w:val="single"/>
        </w:rPr>
        <w:t>https://frankfurter.dev/license/</w:t>
      </w:r>
      <w:r>
        <w:rPr>
          <w:b w:val="0"/>
          <w:i w:val="0"/>
        </w:rPr>
        <w:t xml:space="preserve"> — reference exchange rates, daily cadence, provider-specific rate rights.</w:t>
      </w:r>
    </w:p>
    <w:p>
      <w:pPr>
        <w:pStyle w:val="ListBullet"/>
        <w:widowControl/>
        <w:spacing w:after="60"/>
        <w:ind w:left="259"/>
      </w:pPr>
      <w:r>
        <w:rPr>
          <w:b/>
          <w:i w:val="0"/>
        </w:rPr>
        <w:t>[</w:t>
      </w:r>
      <w:r>
        <w:rPr>
          <w:b/>
          <w:i w:val="0"/>
        </w:rPr>
        <w:t>R11] Reserve Bank of India, actual card-on-file restriction:</w:t>
      </w:r>
      <w:r>
        <w:rPr>
          <w:b w:val="0"/>
          <w:i w:val="0"/>
        </w:rPr>
        <w:t xml:space="preserve"> </w:t>
      </w:r>
      <w:r>
        <w:rPr>
          <w:b w:val="0"/>
          <w:i w:val="0"/>
          <w:color w:val="0869A2"/>
          <w:sz w:val="16"/>
          <w:u w:val="single"/>
        </w:rPr>
        <w:t>https://www.rbi.org.in/scripts/NotificationUser.aspx?Id=12345</w:t>
      </w:r>
      <w:r>
        <w:rPr>
          <w:b w:val="0"/>
          <w:i w:val="0"/>
        </w:rPr>
        <w:t xml:space="preserve"> — card credential storage and tokenization framework.</w:t>
      </w:r>
    </w:p>
    <w:p>
      <w:pPr>
        <w:pStyle w:val="ListBullet"/>
        <w:widowControl/>
        <w:spacing w:after="60"/>
        <w:ind w:left="259"/>
      </w:pPr>
      <w:r>
        <w:rPr>
          <w:b/>
          <w:i w:val="0"/>
        </w:rPr>
        <w:t>[</w:t>
      </w:r>
      <w:r>
        <w:rPr>
          <w:b/>
          <w:i w:val="0"/>
        </w:rPr>
        <w:t>R12] MET Norway Weather API:</w:t>
      </w:r>
      <w:r>
        <w:rPr>
          <w:b w:val="0"/>
          <w:i w:val="0"/>
        </w:rPr>
        <w:t xml:space="preserve"> </w:t>
      </w:r>
      <w:r>
        <w:rPr>
          <w:b w:val="0"/>
          <w:i w:val="0"/>
          <w:color w:val="0869A2"/>
          <w:sz w:val="16"/>
          <w:u w:val="single"/>
        </w:rPr>
        <w:t>https://api.met.no/</w:t>
      </w:r>
      <w:r>
        <w:rPr>
          <w:b w:val="0"/>
          <w:i w:val="0"/>
        </w:rPr>
        <w:t xml:space="preserve"> and </w:t>
      </w:r>
      <w:r>
        <w:rPr>
          <w:b w:val="0"/>
          <w:i w:val="0"/>
          <w:color w:val="0869A2"/>
          <w:sz w:val="16"/>
          <w:u w:val="single"/>
        </w:rPr>
        <w:t>https://api.met.no/doc/TermsOfService</w:t>
      </w:r>
      <w:r>
        <w:rPr>
          <w:b w:val="0"/>
          <w:i w:val="0"/>
        </w:rPr>
        <w:t xml:space="preserve"> — weather coverage, attribution, identification and conditions of use.</w:t>
      </w:r>
    </w:p>
    <w:p>
      <w:pPr>
        <w:pStyle w:val="ListBullet"/>
        <w:widowControl/>
        <w:spacing w:after="60"/>
        <w:ind w:left="259"/>
      </w:pPr>
      <w:r>
        <w:rPr>
          <w:b/>
          <w:i w:val="0"/>
        </w:rPr>
        <w:t>[</w:t>
      </w:r>
      <w:r>
        <w:rPr>
          <w:b/>
          <w:i w:val="0"/>
        </w:rPr>
        <w:t>R13] Google Maps Routes policy:</w:t>
      </w:r>
      <w:r>
        <w:rPr>
          <w:b w:val="0"/>
          <w:i w:val="0"/>
        </w:rPr>
        <w:t xml:space="preserve"> </w:t>
      </w:r>
      <w:r>
        <w:rPr>
          <w:b w:val="0"/>
          <w:i w:val="0"/>
          <w:color w:val="0869A2"/>
          <w:sz w:val="16"/>
          <w:u w:val="single"/>
        </w:rPr>
        <w:t>https://developers.google.com/maps/documentation/routes/policies</w:t>
      </w:r>
      <w:r>
        <w:rPr>
          <w:b w:val="0"/>
          <w:i w:val="0"/>
        </w:rPr>
        <w:t xml:space="preserve"> — display attribution, caching and terms.</w:t>
      </w:r>
    </w:p>
    <w:p>
      <w:pPr>
        <w:widowControl/>
      </w:pPr>
      <w:r>
        <w:rPr>
          <w:b/>
          <w:i w:val="0"/>
        </w:rPr>
        <w:t>Internal evidence:</w:t>
      </w:r>
      <w:r>
        <w:rPr>
          <w:b w:val="0"/>
          <w:i w:val="0"/>
        </w:rPr>
        <w:t xml:space="preserve"> supplied </w:t>
      </w:r>
      <w:r>
        <w:rPr>
          <w:rFonts w:ascii="Consolas" w:hAnsi="Consolas"/>
          <w:b w:val="0"/>
          <w:i w:val="0"/>
          <w:color w:val="0C7A75"/>
          <w:sz w:val="16"/>
        </w:rPr>
        <w:t>tripraft-canonical.db</w:t>
      </w:r>
      <w:r>
        <w:rPr>
          <w:b w:val="0"/>
          <w:i w:val="0"/>
        </w:rPr>
        <w:t xml:space="preserve">, </w:t>
      </w:r>
      <w:r>
        <w:rPr>
          <w:rFonts w:ascii="Consolas" w:hAnsi="Consolas"/>
          <w:b w:val="0"/>
          <w:i w:val="0"/>
          <w:color w:val="0C7A75"/>
          <w:sz w:val="16"/>
        </w:rPr>
        <w:t>tripraft-all-schema-fields-enrichment-review.csv</w:t>
      </w:r>
      <w:r>
        <w:rPr>
          <w:b w:val="0"/>
          <w:i w:val="0"/>
        </w:rPr>
        <w:t xml:space="preserve">, and </w:t>
      </w:r>
      <w:r>
        <w:rPr>
          <w:rFonts w:ascii="Consolas" w:hAnsi="Consolas"/>
          <w:b w:val="0"/>
          <w:i w:val="0"/>
          <w:color w:val="0C7A75"/>
          <w:sz w:val="16"/>
        </w:rPr>
        <w:t>all_places.md</w:t>
      </w:r>
      <w:r>
        <w:rPr>
          <w:b w:val="0"/>
          <w:i w:val="0"/>
        </w:rPr>
        <w:t>. Snapshot counts are direct SQLite checks, not claims about a live production database. Product requirements also incorporate user-described TripRaft features from earlier project discussions.</w:t>
      </w:r>
    </w:p>
    <w:p>
      <w:pPr>
        <w:pStyle w:val="SmallMetadata"/>
      </w:pPr>
      <w:r>
        <w:t>──────────────────────────────────────────────────────────</w:t>
      </w:r>
    </w:p>
    <w:p>
      <w:pPr>
        <w:widowControl/>
      </w:pPr>
      <w:r>
        <w:rPr>
          <w:b/>
          <w:i w:val="0"/>
        </w:rPr>
        <w:t>END OF BLUEPRINT</w:t>
      </w:r>
      <w:r>
        <w:br/>
      </w:r>
      <w:r>
        <w:rPr>
          <w:b/>
          <w:i w:val="0"/>
        </w:rPr>
        <w:t>Recommended next artifact:</w:t>
      </w:r>
      <w:r>
        <w:rPr>
          <w:b w:val="0"/>
          <w:i w:val="0"/>
        </w:rPr>
        <w:t xml:space="preserve"> convert this blueprint into a sprint backlog and initial Postgres migrations only after determining the first merchant country, signed supplier pricing model and payment provider eligibility.</w:t>
      </w:r>
    </w:p>
    <w:sectPr w:rsidR="00FC693F" w:rsidRPr="0006063C" w:rsidSect="00034616">
      <w:headerReference w:type="default" r:id="rId9"/>
      <w:footerReference w:type="default" r:id="rId10"/>
      <w:pgSz w:w="11909" w:h="16834"/>
      <w:pgMar w:top="1181" w:right="1123" w:bottom="1066" w:left="1123" w:header="576" w:footer="605"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86B7B"/>
        <w:sz w:val="15"/>
      </w:rPr>
      <w:t xml:space="preserve">TRIPRAFT  •  OCT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86B7B"/>
        <w:sz w:val="14"/>
      </w:rPr>
      <w:t>TRIPRAFT  /  PRODUCT &amp; ENGINEERING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Aptos" w:hAnsi="Aptos"/>
      <w:b w:val="0"/>
      <w:color w:val="22334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Aptos" w:hAnsi="Aptos"/>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17324D"/>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C7A7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data">
    <w:name w:val="Small Metadata"/>
    <w:pPr>
      <w:spacing w:after="80" w:line="252" w:lineRule="auto"/>
    </w:pPr>
    <w:rPr>
      <w:rFonts w:ascii="Aptos" w:hAnsi="Aptos"/>
      <w:b w:val="0"/>
      <w:color w:val="586B7B"/>
      <w:sz w:val="17"/>
    </w:rPr>
  </w:style>
  <w:style w:type="paragraph" w:customStyle="1" w:styleId="Callout">
    <w:name w:val="Callout"/>
    <w:pPr>
      <w:spacing w:after="80" w:line="252" w:lineRule="auto"/>
    </w:pPr>
    <w:rPr>
      <w:rFonts w:ascii="Aptos" w:hAnsi="Aptos"/>
      <w:b w:val="0"/>
      <w:color w:val="17324D"/>
      <w:sz w:val="19"/>
    </w:rPr>
  </w:style>
  <w:style w:type="paragraph" w:customStyle="1" w:styleId="TableText">
    <w:name w:val="Table Text"/>
    <w:pPr>
      <w:spacing w:after="80" w:line="252" w:lineRule="auto"/>
    </w:pPr>
    <w:rPr>
      <w:rFonts w:ascii="Aptos" w:hAnsi="Aptos"/>
      <w:b w:val="0"/>
      <w:color w:val="223346"/>
      <w:sz w:val="16"/>
    </w:rPr>
  </w:style>
  <w:style w:type="paragraph" w:customStyle="1" w:styleId="CodeStyled">
    <w:name w:val="Code Styled"/>
    <w:pPr>
      <w:spacing w:after="80" w:line="252" w:lineRule="auto"/>
    </w:pPr>
    <w:rPr>
      <w:rFonts w:ascii="Aptos" w:hAnsi="Aptos"/>
      <w:b w:val="0"/>
      <w:color w:val="223346"/>
      <w:sz w:val="15"/>
    </w:rPr>
  </w:style>
  <w:style w:type="paragraph" w:customStyle="1" w:styleId="SectionKicker">
    <w:name w:val="Section Kicker"/>
    <w:pPr>
      <w:spacing w:after="80" w:line="252" w:lineRule="auto"/>
    </w:pPr>
    <w:rPr>
      <w:rFonts w:ascii="Aptos" w:hAnsi="Aptos"/>
      <w:b w:val="0"/>
      <w:color w:val="0C7A7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TripRaft unified marketplace and reseller implementation master blueprint</dc:title>
  <dc:subject>Dual marketplace and reseller monetization, GST, payments, supplier portals, AI planning and founder growth</dc:subject>
  <dc:creator>TripRaft implementation planning</dc:creator>
  <cp:keywords>TripRaft, booking, travel, marketplace, API, payments, itinerary</cp:keywords>
  <dc:description>generated by python-docx</dc:description>
  <cp:lastModifiedBy/>
  <cp:revision>1</cp:revision>
  <dcterms:created xsi:type="dcterms:W3CDTF">2013-12-23T23:15:00Z</dcterms:created>
  <dcterms:modified xsi:type="dcterms:W3CDTF">2013-12-23T23:15:00Z</dcterms:modified>
  <cp:category/>
</cp:coreProperties>
</file>