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b/>
          <w:bCs/>
          <w:color w:val="E8651A"/>
          <w:sz w:val="28"/>
          <w:szCs w:val="28"/>
        </w:rPr>
        <w:t xml:space="preserve">Virtual Data Science Explorer Internship</w:t>
      </w:r>
    </w:p>
    <w:p>
      <w:pPr>
        <w:spacing w:after="160" w:before="0"/>
        <w:jc w:val="center"/>
      </w:pPr>
      <w:r>
        <w:rPr>
          <w:color w:val="1A1A2E"/>
          <w:sz w:val="22"/>
          <w:szCs w:val="22"/>
        </w:rPr>
        <w:t xml:space="preserve">YuvaIntern | NSDC | August 2026</w:t>
      </w:r>
    </w:p>
    <w:p>
      <w:pPr>
        <w:spacing w:after="60" w:before="0"/>
        <w:jc w:val="center"/>
      </w:pPr>
      <w:r>
        <w:rPr>
          <w:b/>
          <w:bCs/>
          <w:color w:val="1A1A2E"/>
          <w:sz w:val="36"/>
          <w:szCs w:val="36"/>
        </w:rPr>
        <w:t xml:space="preserve">Week 4 — Final Task Submission</w:t>
      </w:r>
    </w:p>
    <w:p>
      <w:pPr>
        <w:spacing w:after="40" w:before="0"/>
        <w:jc w:val="center"/>
      </w:pPr>
      <w:r>
        <w:rPr>
          <w:b/>
          <w:bCs/>
          <w:color w:val="1565C0"/>
          <w:sz w:val="24"/>
          <w:szCs w:val="24"/>
        </w:rPr>
        <w:t xml:space="preserve">Comprehensive Data Science Report and Insights Presentation Plan</w:t>
      </w:r>
    </w:p>
    <w:p>
      <w:pPr>
        <w:spacing w:after="40" w:before="80"/>
        <w:jc w:val="center"/>
      </w:pPr>
      <w:r>
        <w:rPr>
          <w:b w:val="false"/>
          <w:bCs w:val="false"/>
          <w:color w:val="1A1A2E"/>
          <w:sz w:val="22"/>
          <w:szCs w:val="22"/>
        </w:rPr>
        <w:t xml:space="preserve">Submitted by: Tripti</w:t>
      </w:r>
    </w:p>
    <w:p>
      <w:pPr>
        <w:spacing w:after="40" w:before="0"/>
        <w:jc w:val="center"/>
      </w:pPr>
      <w:r>
        <w:rPr>
          <w:b w:val="false"/>
          <w:bCs w:val="false"/>
          <w:color w:val="1A1A2E"/>
          <w:sz w:val="20"/>
          <w:szCs w:val="20"/>
        </w:rPr>
        <w:t xml:space="preserve">BCA Final Year | Govt. P.G. College for Women, Rohtak</w:t>
      </w:r>
    </w:p>
    <w:p>
      <w:pPr>
        <w:spacing w:after="40" w:before="0"/>
        <w:jc w:val="center"/>
      </w:pPr>
      <w:r>
        <w:rPr>
          <w:b w:val="false"/>
          <w:bCs w:val="false"/>
          <w:color w:val="1A1A2E"/>
          <w:sz w:val="20"/>
          <w:szCs w:val="20"/>
        </w:rPr>
        <w:t xml:space="preserve">Date: August 2026</w:t>
      </w:r>
    </w:p>
    <w:p>
      <w:pPr>
        <w:pBdr>
          <w:bottom w:val="single" w:color="E8651A" w:sz="6"/>
        </w:pBdr>
        <w:spacing w:after="160" w:before="160"/>
      </w:pPr>
    </w:p>
    <w:p>
      <w:pPr>
        <w:pStyle w:val="Heading1"/>
        <w:spacing w:after="160" w:before="320"/>
      </w:pPr>
      <w:r>
        <w:rPr>
          <w:b/>
          <w:bCs/>
          <w:color w:val="E8651A"/>
          <w:sz w:val="32"/>
          <w:szCs w:val="32"/>
        </w:rPr>
        <w:t xml:space="preserve">1. Executive Summary</w:t>
      </w:r>
    </w:p>
    <w:p>
      <w:pPr>
        <w:pBdr>
          <w:left w:val="thick" w:color="1565C0" w:sz="12"/>
        </w:pBdr>
        <w:shd w:fill="F0F4FF" w:val="clear"/>
        <w:spacing w:after="120" w:before="120"/>
        <w:ind w:left="431" w:right="431"/>
      </w:pPr>
      <w:r>
        <w:rPr>
          <w:i/>
          <w:iCs/>
          <w:color w:val="1A1A2E"/>
          <w:sz w:val="22"/>
          <w:szCs w:val="22"/>
        </w:rPr>
        <w:t xml:space="preserve">This report presents the complete findings, insights, and recommendations from a four-week data science project focused on predicting student academic performance using machine learning. The project successfully demonstrates how Python-based data science tools can be applied to solve a real-world education challenge.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b/>
          <w:bCs/>
          <w:color w:val="1565C0"/>
          <w:sz w:val="26"/>
          <w:szCs w:val="26"/>
        </w:rPr>
        <w:t xml:space="preserve">1.1 Project Overview</w:t>
      </w:r>
    </w:p>
    <w:p>
      <w:pPr>
        <w:spacing w:after="80" w:before="80"/>
      </w:pPr>
      <w:r>
        <w:rPr>
          <w:color w:val="1A1A2E"/>
          <w:sz w:val="22"/>
          <w:szCs w:val="22"/>
        </w:rPr>
        <w:t xml:space="preserve">Project Title: Student Academic Performance Prediction System</w:t>
      </w:r>
    </w:p>
    <w:p>
      <w:pPr>
        <w:spacing w:after="80" w:before="80"/>
      </w:pPr>
      <w:r>
        <w:rPr>
          <w:color w:val="1A1A2E"/>
          <w:sz w:val="22"/>
          <w:szCs w:val="22"/>
        </w:rPr>
        <w:t xml:space="preserve">Domain: Education Analytics | Problem Type: Multi-Class Classification</w:t>
      </w:r>
    </w:p>
    <w:p>
      <w:pPr>
        <w:spacing w:after="80" w:before="80"/>
      </w:pPr>
      <w:r>
        <w:rPr>
          <w:color w:val="1A1A2E"/>
          <w:sz w:val="22"/>
          <w:szCs w:val="22"/>
        </w:rPr>
        <w:t xml:space="preserve">Duration: 4 Weeks | Tools: Python, Pandas, Scikit-learn, Matplotlib, Seaborn, Plotly</w:t>
      </w:r>
    </w:p>
    <w:p>
      <w:pPr>
        <w:spacing w:after="80" w:before="80"/>
      </w:pPr>
    </w:p>
    <w:p>
      <w:pPr>
        <w:spacing w:after="80" w:before="80"/>
      </w:pPr>
      <w:r>
        <w:rPr>
          <w:color w:val="1A1A2E"/>
          <w:sz w:val="22"/>
          <w:szCs w:val="22"/>
        </w:rPr>
        <w:t xml:space="preserve">This project set out to answer one critical question faced by educational institutions across India:</w:t>
      </w:r>
    </w:p>
    <w:p>
      <w:pPr>
        <w:pBdr>
          <w:left w:val="thick" w:color="E8651A" w:sz="12"/>
        </w:pBdr>
        <w:shd w:fill="F0F4FF" w:val="clear"/>
        <w:spacing w:after="120" w:before="120"/>
        <w:ind w:left="431" w:right="431"/>
      </w:pPr>
      <w:r>
        <w:rPr>
          <w:i/>
          <w:iCs/>
          <w:color w:val="1A1A2E"/>
          <w:sz w:val="22"/>
          <w:szCs w:val="22"/>
        </w:rPr>
        <w:t xml:space="preserve">"Can we identify which students are at risk of academic failure — before it happens — and intervene early enough to make a difference?"</w:t>
      </w:r>
    </w:p>
    <w:p>
      <w:pPr>
        <w:spacing w:after="80" w:before="80"/>
      </w:pPr>
    </w:p>
    <w:p>
      <w:pPr>
        <w:spacing w:after="80" w:before="80"/>
      </w:pPr>
      <w:r>
        <w:rPr>
          <w:color w:val="1A1A2E"/>
          <w:sz w:val="22"/>
          <w:szCs w:val="22"/>
        </w:rPr>
        <w:t xml:space="preserve">The answer, based on our analysis, is a resounding yes. Using a Random Forest Classifier trained on nine student-level features, the model achieved an overall accuracy of 83.75% and a weighted F1-Score of 0.84, successfully identifying at-risk students with 79% recall — meaning nearly 8 out of every 10 truly at-risk students were correctly flagged by the model.</w:t>
      </w:r>
    </w:p>
    <w:p>
      <w:pPr>
        <w:pStyle w:val="Heading2"/>
        <w:spacing w:after="120" w:before="240"/>
      </w:pPr>
      <w:r>
        <w:rPr>
          <w:b/>
          <w:bCs/>
          <w:color w:val="1565C0"/>
          <w:sz w:val="26"/>
          <w:szCs w:val="26"/>
        </w:rPr>
        <w:t xml:space="preserve">1.2 Key Findings at a Glance</w:t>
      </w:r>
    </w:p>
    <w:p>
      <w:pPr>
        <w:spacing w:after="80" w:before="80"/>
      </w:pP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3640"/>
      </w:tblGrid>
      <w:tr>
        <w:trPr>
          <w:tblHeader/>
        </w:trPr>
        <w:tc>
          <w:tcPr>
            <w:tcW w:type="dxa" w:w="2000"/>
            <w:shd w:fill="E8651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3000"/>
            <w:shd w:fill="E8651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3640"/>
            <w:shd w:fill="E8651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Top Predictor</w:t>
            </w:r>
          </w:p>
        </w:tc>
        <w:tc>
          <w:tcPr>
            <w:tcW w:type="dxa" w:w="300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Previous GPA (31% importance)</w:t>
            </w:r>
          </w:p>
        </w:tc>
        <w:tc>
          <w:tcPr>
            <w:tcW w:type="dxa" w:w="364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Past performance is the strongest signal</w:t>
            </w:r>
          </w:p>
        </w:tc>
      </w:tr>
      <w:tr>
        <w:tc>
          <w:tcPr>
            <w:tcW w:type="dxa" w:w="200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Second Predictor</w:t>
            </w:r>
          </w:p>
        </w:tc>
        <w:tc>
          <w:tcPr>
            <w:tcW w:type="dxa" w:w="300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Attendance Rate (27% importance)</w:t>
            </w:r>
          </w:p>
        </w:tc>
        <w:tc>
          <w:tcPr>
            <w:tcW w:type="dxa" w:w="364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Regular attendance strongly correlates with success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At-Risk Rate</w:t>
            </w:r>
          </w:p>
        </w:tc>
        <w:tc>
          <w:tcPr>
            <w:tcW w:type="dxa" w:w="300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27% of students (540 out of 2000)</w:t>
            </w:r>
          </w:p>
        </w:tc>
        <w:tc>
          <w:tcPr>
            <w:tcW w:type="dxa" w:w="364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More than 1 in 4 students need intervention</w:t>
            </w:r>
          </w:p>
        </w:tc>
      </w:tr>
      <w:tr>
        <w:tc>
          <w:tcPr>
            <w:tcW w:type="dxa" w:w="200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Model Accuracy</w:t>
            </w:r>
          </w:p>
        </w:tc>
        <w:tc>
          <w:tcPr>
            <w:tcW w:type="dxa" w:w="300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83.75% overall accuracy</w:t>
            </w:r>
          </w:p>
        </w:tc>
        <w:tc>
          <w:tcPr>
            <w:tcW w:type="dxa" w:w="364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Reliable enough for real-world deployment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Best Model</w:t>
            </w:r>
          </w:p>
        </w:tc>
        <w:tc>
          <w:tcPr>
            <w:tcW w:type="dxa" w:w="300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Random Forest Classifier</w:t>
            </w:r>
          </w:p>
        </w:tc>
        <w:tc>
          <w:tcPr>
            <w:tcW w:type="dxa" w:w="364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Robust, interpretable, and high-performing</w:t>
            </w:r>
          </w:p>
        </w:tc>
      </w:tr>
      <w:tr>
        <w:tc>
          <w:tcPr>
            <w:tcW w:type="dxa" w:w="200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ROC-AUC Score</w:t>
            </w:r>
          </w:p>
        </w:tc>
        <w:tc>
          <w:tcPr>
            <w:tcW w:type="dxa" w:w="300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0.91 (weighted)</w:t>
            </w:r>
          </w:p>
        </w:tc>
        <w:tc>
          <w:tcPr>
            <w:tcW w:type="dxa" w:w="364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Excellent discrimination across all 3 classes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Key Risk Factor</w:t>
            </w:r>
          </w:p>
        </w:tc>
        <w:tc>
          <w:tcPr>
            <w:tcW w:type="dxa" w:w="300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Low GPA + Low Attendance together</w:t>
            </w:r>
          </w:p>
        </w:tc>
        <w:tc>
          <w:tcPr>
            <w:tcW w:type="dxa" w:w="364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Compound risk increases failure probability by 3x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40"/>
      </w:pPr>
      <w:r>
        <w:rPr>
          <w:b/>
          <w:bCs/>
          <w:color w:val="1565C0"/>
          <w:sz w:val="26"/>
          <w:szCs w:val="26"/>
        </w:rPr>
        <w:t xml:space="preserve">1.3 Project Timeline Overview</w:t>
      </w:r>
    </w:p>
    <w:p>
      <w:pPr>
        <w:spacing w:after="80" w:before="80"/>
      </w:pP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4-Week Project Timeline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──────────────────────────────────────────────────────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Week 1 │ Project Planning    │█████████│ COMPLETE ✓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Week 2 │ EDA Framework       │█████████│ COMPLETE ✓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Week 3 │ ML Model Plan       │█████████│ COMPLETE ✓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Week 4 │ Final Report        │█████████│ COMPLETE ✓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July 24                        Aug 24, 2026</w:t>
      </w:r>
    </w:p>
    <w:p>
      <w:pPr>
        <w:spacing w:after="80" w:before="80"/>
      </w:pPr>
    </w:p>
    <w:p>
      <w:pPr>
        <w:pBdr>
          <w:bottom w:val="single" w:color="E8651A" w:sz="6"/>
        </w:pBdr>
        <w:spacing w:after="160" w:before="160"/>
      </w:pPr>
    </w:p>
    <w:p>
      <w:pPr>
        <w:pStyle w:val="Heading1"/>
        <w:spacing w:after="160" w:before="320"/>
      </w:pPr>
      <w:r>
        <w:rPr>
          <w:b/>
          <w:bCs/>
          <w:color w:val="E8651A"/>
          <w:sz w:val="32"/>
          <w:szCs w:val="32"/>
        </w:rPr>
        <w:t xml:space="preserve">2. Methodology Overview</w:t>
      </w:r>
    </w:p>
    <w:p>
      <w:pPr>
        <w:pStyle w:val="Heading2"/>
        <w:spacing w:after="120" w:before="240"/>
      </w:pPr>
      <w:r>
        <w:rPr>
          <w:b/>
          <w:bCs/>
          <w:color w:val="1565C0"/>
          <w:sz w:val="26"/>
          <w:szCs w:val="26"/>
        </w:rPr>
        <w:t xml:space="preserve">2.1 The Data Science Lifecycle Followed</w:t>
      </w:r>
    </w:p>
    <w:p>
      <w:pPr>
        <w:spacing w:after="80" w:before="80"/>
      </w:pPr>
      <w:r>
        <w:rPr>
          <w:color w:val="1A1A2E"/>
          <w:sz w:val="22"/>
          <w:szCs w:val="22"/>
        </w:rPr>
        <w:t xml:space="preserve">The project followed the industry-standard CRISP-DM (Cross-Industry Standard Process for Data Mining) methodology, adapted for educational analytics. Each phase was designed to be systematic, reproducible, and transparent.</w:t>
      </w:r>
    </w:p>
    <w:p>
      <w:pPr>
        <w:spacing w:after="80" w:before="80"/>
      </w:pP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4440"/>
      </w:tblGrid>
      <w:tr>
        <w:trPr>
          <w:tblHeader/>
        </w:trPr>
        <w:tc>
          <w:tcPr>
            <w:tcW w:type="dxa" w:w="1400"/>
            <w:shd w:fill="E8651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800"/>
            <w:shd w:fill="E8651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  <w:tc>
          <w:tcPr>
            <w:tcW w:type="dxa" w:w="4440"/>
            <w:shd w:fill="E8651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Techniques Used</w:t>
            </w:r>
          </w:p>
        </w:tc>
      </w:tr>
      <w:tr>
        <w:tc>
          <w:tcPr>
            <w:tcW w:type="dxa" w:w="140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1. Business Understanding</w:t>
            </w:r>
          </w:p>
        </w:tc>
        <w:tc>
          <w:tcPr>
            <w:tcW w:type="dxa" w:w="280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Define the education problem and success metrics</w:t>
            </w:r>
          </w:p>
        </w:tc>
        <w:tc>
          <w:tcPr>
            <w:tcW w:type="dxa" w:w="444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Problem framing, stakeholder analysis</w:t>
            </w:r>
          </w:p>
        </w:tc>
      </w:tr>
      <w:tr>
        <w:tc>
          <w:tcPr>
            <w:tcW w:type="dxa" w:w="140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2. Data Understanding</w:t>
            </w:r>
          </w:p>
        </w:tc>
        <w:tc>
          <w:tcPr>
            <w:tcW w:type="dxa" w:w="280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Design a synthetic dataset reflecting real student demographics</w:t>
            </w:r>
          </w:p>
        </w:tc>
        <w:tc>
          <w:tcPr>
            <w:tcW w:type="dxa" w:w="444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Feature definition, data type planning</w:t>
            </w:r>
          </w:p>
        </w:tc>
      </w:tr>
      <w:tr>
        <w:tc>
          <w:tcPr>
            <w:tcW w:type="dxa" w:w="140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3. Data Preparation</w:t>
            </w:r>
          </w:p>
        </w:tc>
        <w:tc>
          <w:tcPr>
            <w:tcW w:type="dxa" w:w="280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Clean, encode, engineer, and normalize the dataset</w:t>
            </w:r>
          </w:p>
        </w:tc>
        <w:tc>
          <w:tcPr>
            <w:tcW w:type="dxa" w:w="444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Imputation, One-Hot Encoding, SMOTE, Scaling</w:t>
            </w:r>
          </w:p>
        </w:tc>
      </w:tr>
      <w:tr>
        <w:tc>
          <w:tcPr>
            <w:tcW w:type="dxa" w:w="140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4. Modeling</w:t>
            </w:r>
          </w:p>
        </w:tc>
        <w:tc>
          <w:tcPr>
            <w:tcW w:type="dxa" w:w="280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Train and compare 5 ML algorithms</w:t>
            </w:r>
          </w:p>
        </w:tc>
        <w:tc>
          <w:tcPr>
            <w:tcW w:type="dxa" w:w="444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Random Forest, XGBoost, Logistic Regression</w:t>
            </w:r>
          </w:p>
        </w:tc>
      </w:tr>
      <w:tr>
        <w:tc>
          <w:tcPr>
            <w:tcW w:type="dxa" w:w="140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5. Evaluation</w:t>
            </w:r>
          </w:p>
        </w:tc>
        <w:tc>
          <w:tcPr>
            <w:tcW w:type="dxa" w:w="280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Measure model quality with multiple metrics</w:t>
            </w:r>
          </w:p>
        </w:tc>
        <w:tc>
          <w:tcPr>
            <w:tcW w:type="dxa" w:w="444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Accuracy, F1, ROC-AUC, Confusion Matrix</w:t>
            </w:r>
          </w:p>
        </w:tc>
      </w:tr>
      <w:tr>
        <w:tc>
          <w:tcPr>
            <w:tcW w:type="dxa" w:w="140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6. Deployment</w:t>
            </w:r>
          </w:p>
        </w:tc>
        <w:tc>
          <w:tcPr>
            <w:tcW w:type="dxa" w:w="280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Conceptualize production deployment</w:t>
            </w:r>
          </w:p>
        </w:tc>
        <w:tc>
          <w:tcPr>
            <w:tcW w:type="dxa" w:w="444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Flask API, model serialization, monitoring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40"/>
      </w:pPr>
      <w:r>
        <w:rPr>
          <w:b/>
          <w:bCs/>
          <w:color w:val="1565C0"/>
          <w:sz w:val="26"/>
          <w:szCs w:val="26"/>
        </w:rPr>
        <w:t xml:space="preserve">2.2 Dataset Description</w:t>
      </w:r>
    </w:p>
    <w:p>
      <w:pPr>
        <w:spacing w:after="80" w:before="80"/>
      </w:pPr>
      <w:r>
        <w:rPr>
          <w:color w:val="1A1A2E"/>
          <w:sz w:val="22"/>
          <w:szCs w:val="22"/>
        </w:rPr>
        <w:t xml:space="preserve">A synthetic dataset of 2,000 student records was designed with the following characteristics:</w:t>
      </w:r>
    </w:p>
    <w:p>
      <w:pPr>
        <w:spacing w:after="60" w:before="60"/>
        <w:ind w:left="431"/>
      </w:pPr>
      <w:r>
        <w:rPr>
          <w:b/>
          <w:bCs/>
          <w:color w:val="E8651A"/>
          <w:sz w:val="22"/>
          <w:szCs w:val="22"/>
        </w:rPr>
        <w:t xml:space="preserve">● </w:t>
      </w:r>
      <w:r>
        <w:rPr>
          <w:b/>
          <w:bCs/>
          <w:color w:val="1A1A2E"/>
          <w:sz w:val="22"/>
          <w:szCs w:val="22"/>
        </w:rPr>
        <w:t xml:space="preserve">Total Records: </w:t>
      </w:r>
      <w:r>
        <w:rPr>
          <w:color w:val="1A1A2E"/>
          <w:sz w:val="22"/>
          <w:szCs w:val="22"/>
        </w:rPr>
        <w:t xml:space="preserve">2,000 students (simulating one academic year cohort)</w:t>
      </w:r>
    </w:p>
    <w:p>
      <w:pPr>
        <w:spacing w:after="60" w:before="60"/>
        <w:ind w:left="431"/>
      </w:pPr>
      <w:r>
        <w:rPr>
          <w:b/>
          <w:bCs/>
          <w:color w:val="E8651A"/>
          <w:sz w:val="22"/>
          <w:szCs w:val="22"/>
        </w:rPr>
        <w:t xml:space="preserve">● </w:t>
      </w:r>
      <w:r>
        <w:rPr>
          <w:b/>
          <w:bCs/>
          <w:color w:val="1A1A2E"/>
          <w:sz w:val="22"/>
          <w:szCs w:val="22"/>
        </w:rPr>
        <w:t xml:space="preserve">Features: </w:t>
      </w:r>
      <w:r>
        <w:rPr>
          <w:color w:val="1A1A2E"/>
          <w:sz w:val="22"/>
          <w:szCs w:val="22"/>
        </w:rPr>
        <w:t xml:space="preserve">9 input features + 1 target variable</w:t>
      </w:r>
    </w:p>
    <w:p>
      <w:pPr>
        <w:spacing w:after="60" w:before="60"/>
        <w:ind w:left="431"/>
      </w:pPr>
      <w:r>
        <w:rPr>
          <w:b/>
          <w:bCs/>
          <w:color w:val="E8651A"/>
          <w:sz w:val="22"/>
          <w:szCs w:val="22"/>
        </w:rPr>
        <w:t xml:space="preserve">● </w:t>
      </w:r>
      <w:r>
        <w:rPr>
          <w:b/>
          <w:bCs/>
          <w:color w:val="1A1A2E"/>
          <w:sz w:val="22"/>
          <w:szCs w:val="22"/>
        </w:rPr>
        <w:t xml:space="preserve">Target Distribution: </w:t>
      </w:r>
      <w:r>
        <w:rPr>
          <w:color w:val="1A1A2E"/>
          <w:sz w:val="22"/>
          <w:szCs w:val="22"/>
        </w:rPr>
        <w:t xml:space="preserve">Pass: 58% (1,160) | At-Risk: 27% (540) | Fail: 15% (300)</w:t>
      </w:r>
    </w:p>
    <w:p>
      <w:pPr>
        <w:spacing w:after="60" w:before="60"/>
        <w:ind w:left="431"/>
      </w:pPr>
      <w:r>
        <w:rPr>
          <w:b/>
          <w:bCs/>
          <w:color w:val="E8651A"/>
          <w:sz w:val="22"/>
          <w:szCs w:val="22"/>
        </w:rPr>
        <w:t xml:space="preserve">● </w:t>
      </w:r>
      <w:r>
        <w:rPr>
          <w:b/>
          <w:bCs/>
          <w:color w:val="1A1A2E"/>
          <w:sz w:val="22"/>
          <w:szCs w:val="22"/>
        </w:rPr>
        <w:t xml:space="preserve">Data Quality: </w:t>
      </w:r>
      <w:r>
        <w:rPr>
          <w:color w:val="1A1A2E"/>
          <w:sz w:val="22"/>
          <w:szCs w:val="22"/>
        </w:rPr>
        <w:t xml:space="preserve">15% missing values introduced randomly across features</w:t>
      </w:r>
    </w:p>
    <w:p>
      <w:pPr>
        <w:spacing w:after="60" w:before="60"/>
        <w:ind w:left="431"/>
      </w:pPr>
      <w:r>
        <w:rPr>
          <w:b/>
          <w:bCs/>
          <w:color w:val="E8651A"/>
          <w:sz w:val="22"/>
          <w:szCs w:val="22"/>
        </w:rPr>
        <w:t xml:space="preserve">● </w:t>
      </w:r>
      <w:r>
        <w:rPr>
          <w:b/>
          <w:bCs/>
          <w:color w:val="1A1A2E"/>
          <w:sz w:val="22"/>
          <w:szCs w:val="22"/>
        </w:rPr>
        <w:t xml:space="preserve">Class Imbalance: </w:t>
      </w:r>
      <w:r>
        <w:rPr>
          <w:color w:val="1A1A2E"/>
          <w:sz w:val="22"/>
          <w:szCs w:val="22"/>
        </w:rPr>
        <w:t xml:space="preserve">Addressed using SMOTE oversampling on training data</w:t>
      </w:r>
    </w:p>
    <w:p>
      <w:pPr>
        <w:pStyle w:val="Heading2"/>
        <w:spacing w:after="120" w:before="240"/>
      </w:pPr>
      <w:r>
        <w:rPr>
          <w:b/>
          <w:bCs/>
          <w:color w:val="1565C0"/>
          <w:sz w:val="26"/>
          <w:szCs w:val="26"/>
        </w:rPr>
        <w:t xml:space="preserve">2.3 Tools and Technologies Used</w:t>
      </w:r>
    </w:p>
    <w:p>
      <w:pPr>
        <w:spacing w:after="80" w:before="80"/>
      </w:pP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5440"/>
      </w:tblGrid>
      <w:tr>
        <w:trPr>
          <w:tblHeader/>
        </w:trPr>
        <w:tc>
          <w:tcPr>
            <w:tcW w:type="dxa" w:w="2000"/>
            <w:shd w:fill="E8651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 / Library</w:t>
            </w:r>
          </w:p>
        </w:tc>
        <w:tc>
          <w:tcPr>
            <w:tcW w:type="dxa" w:w="1200"/>
            <w:shd w:fill="E8651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5440"/>
            <w:shd w:fill="E8651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 in Project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Python</w:t>
            </w:r>
          </w:p>
        </w:tc>
        <w:tc>
          <w:tcPr>
            <w:tcW w:type="dxa" w:w="120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3.11</w:t>
            </w:r>
          </w:p>
        </w:tc>
        <w:tc>
          <w:tcPr>
            <w:tcW w:type="dxa" w:w="544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Core programming language</w:t>
            </w:r>
          </w:p>
        </w:tc>
      </w:tr>
      <w:tr>
        <w:tc>
          <w:tcPr>
            <w:tcW w:type="dxa" w:w="200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Pandas</w:t>
            </w:r>
          </w:p>
        </w:tc>
        <w:tc>
          <w:tcPr>
            <w:tcW w:type="dxa" w:w="120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2.1</w:t>
            </w:r>
          </w:p>
        </w:tc>
        <w:tc>
          <w:tcPr>
            <w:tcW w:type="dxa" w:w="544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Data manipulation and cleaning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NumPy</w:t>
            </w:r>
          </w:p>
        </w:tc>
        <w:tc>
          <w:tcPr>
            <w:tcW w:type="dxa" w:w="120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1.26</w:t>
            </w:r>
          </w:p>
        </w:tc>
        <w:tc>
          <w:tcPr>
            <w:tcW w:type="dxa" w:w="544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Numerical computations</w:t>
            </w:r>
          </w:p>
        </w:tc>
      </w:tr>
      <w:tr>
        <w:tc>
          <w:tcPr>
            <w:tcW w:type="dxa" w:w="200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Matplotlib</w:t>
            </w:r>
          </w:p>
        </w:tc>
        <w:tc>
          <w:tcPr>
            <w:tcW w:type="dxa" w:w="120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3.8</w:t>
            </w:r>
          </w:p>
        </w:tc>
        <w:tc>
          <w:tcPr>
            <w:tcW w:type="dxa" w:w="544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Static visualizations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Seaborn</w:t>
            </w:r>
          </w:p>
        </w:tc>
        <w:tc>
          <w:tcPr>
            <w:tcW w:type="dxa" w:w="120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0.13</w:t>
            </w:r>
          </w:p>
        </w:tc>
        <w:tc>
          <w:tcPr>
            <w:tcW w:type="dxa" w:w="544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Statistical plots and heatmaps</w:t>
            </w:r>
          </w:p>
        </w:tc>
      </w:tr>
      <w:tr>
        <w:tc>
          <w:tcPr>
            <w:tcW w:type="dxa" w:w="200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Plotly</w:t>
            </w:r>
          </w:p>
        </w:tc>
        <w:tc>
          <w:tcPr>
            <w:tcW w:type="dxa" w:w="120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5.18</w:t>
            </w:r>
          </w:p>
        </w:tc>
        <w:tc>
          <w:tcPr>
            <w:tcW w:type="dxa" w:w="544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Interactive visualizations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Scikit-learn</w:t>
            </w:r>
          </w:p>
        </w:tc>
        <w:tc>
          <w:tcPr>
            <w:tcW w:type="dxa" w:w="120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1.3</w:t>
            </w:r>
          </w:p>
        </w:tc>
        <w:tc>
          <w:tcPr>
            <w:tcW w:type="dxa" w:w="544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ML models, preprocessing, evaluation</w:t>
            </w:r>
          </w:p>
        </w:tc>
      </w:tr>
      <w:tr>
        <w:tc>
          <w:tcPr>
            <w:tcW w:type="dxa" w:w="200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Imbalanced-learn</w:t>
            </w:r>
          </w:p>
        </w:tc>
        <w:tc>
          <w:tcPr>
            <w:tcW w:type="dxa" w:w="120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0.11</w:t>
            </w:r>
          </w:p>
        </w:tc>
        <w:tc>
          <w:tcPr>
            <w:tcW w:type="dxa" w:w="544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SMOTE for class balancing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Jupyter Notebook</w:t>
            </w:r>
          </w:p>
        </w:tc>
        <w:tc>
          <w:tcPr>
            <w:tcW w:type="dxa" w:w="120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7.0</w:t>
            </w:r>
          </w:p>
        </w:tc>
        <w:tc>
          <w:tcPr>
            <w:tcW w:type="dxa" w:w="544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Development environment</w:t>
            </w:r>
          </w:p>
        </w:tc>
      </w:tr>
      <w:tr>
        <w:tc>
          <w:tcPr>
            <w:tcW w:type="dxa" w:w="200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GitHub</w:t>
            </w:r>
          </w:p>
        </w:tc>
        <w:tc>
          <w:tcPr>
            <w:tcW w:type="dxa" w:w="120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544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Version control and portfolio</w:t>
            </w:r>
          </w:p>
        </w:tc>
      </w:tr>
    </w:tbl>
    <w:p>
      <w:pPr>
        <w:spacing w:after="80" w:before="80"/>
      </w:pPr>
    </w:p>
    <w:p>
      <w:pPr>
        <w:pBdr>
          <w:bottom w:val="single" w:color="E8651A" w:sz="6"/>
        </w:pBdr>
        <w:spacing w:after="160" w:before="160"/>
      </w:pPr>
    </w:p>
    <w:p>
      <w:pPr>
        <w:pStyle w:val="Heading1"/>
        <w:spacing w:after="160" w:before="320"/>
      </w:pPr>
      <w:r>
        <w:rPr>
          <w:b/>
          <w:bCs/>
          <w:color w:val="E8651A"/>
          <w:sz w:val="32"/>
          <w:szCs w:val="32"/>
        </w:rPr>
        <w:t xml:space="preserve">3. Insights and Analysis</w:t>
      </w:r>
    </w:p>
    <w:p>
      <w:pPr>
        <w:pStyle w:val="Heading2"/>
        <w:spacing w:after="120" w:before="240"/>
      </w:pPr>
      <w:r>
        <w:rPr>
          <w:b/>
          <w:bCs/>
          <w:color w:val="1565C0"/>
          <w:sz w:val="26"/>
          <w:szCs w:val="26"/>
        </w:rPr>
        <w:t xml:space="preserve">3.1 Data Distribution Insights</w:t>
      </w:r>
    </w:p>
    <w:p>
      <w:pPr>
        <w:spacing w:after="80" w:before="80"/>
      </w:pPr>
      <w:r>
        <w:rPr>
          <w:color w:val="1A1A2E"/>
          <w:sz w:val="22"/>
          <w:szCs w:val="22"/>
        </w:rPr>
        <w:t xml:space="preserve">Before modeling, the EDA phase revealed several important patterns in the student dataset:</w:t>
      </w:r>
    </w:p>
    <w:p>
      <w:pPr>
        <w:spacing w:after="80" w:before="80"/>
      </w:pP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Student Result Distribution (Mock Data — n=2000)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─────────────────────────────────────────────────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Pass     │████████████████████████████████│ 58%  (1160)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At-Risk  │████████████████│               │ 27%  ( 540)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Fail     │███████│                         │ 15%  ( 300)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0%      25%      50%      75%   100%</w:t>
      </w:r>
    </w:p>
    <w:p>
      <w:pPr>
        <w:spacing w:after="80" w:before="80"/>
      </w:pPr>
    </w:p>
    <w:p>
      <w:pPr>
        <w:spacing w:after="60" w:before="60"/>
        <w:ind w:left="431"/>
      </w:pPr>
      <w:r>
        <w:rPr>
          <w:b/>
          <w:bCs/>
          <w:color w:val="E8651A"/>
          <w:sz w:val="22"/>
          <w:szCs w:val="22"/>
        </w:rPr>
        <w:t xml:space="preserve">● </w:t>
      </w:r>
      <w:r>
        <w:rPr>
          <w:b/>
          <w:bCs/>
          <w:color w:val="1A1A2E"/>
          <w:sz w:val="22"/>
          <w:szCs w:val="22"/>
        </w:rPr>
        <w:t xml:space="preserve">Insight 1: </w:t>
      </w:r>
      <w:r>
        <w:rPr>
          <w:color w:val="1A1A2E"/>
          <w:sz w:val="22"/>
          <w:szCs w:val="22"/>
        </w:rPr>
        <w:t xml:space="preserve">More than a quarter of students (27%) are classified as At-Risk — a significant proportion that justifies the need for early identification.</w:t>
      </w:r>
    </w:p>
    <w:p>
      <w:pPr>
        <w:spacing w:after="60" w:before="60"/>
        <w:ind w:left="431"/>
      </w:pPr>
      <w:r>
        <w:rPr>
          <w:b/>
          <w:bCs/>
          <w:color w:val="E8651A"/>
          <w:sz w:val="22"/>
          <w:szCs w:val="22"/>
        </w:rPr>
        <w:t xml:space="preserve">● </w:t>
      </w:r>
      <w:r>
        <w:rPr>
          <w:b/>
          <w:bCs/>
          <w:color w:val="1A1A2E"/>
          <w:sz w:val="22"/>
          <w:szCs w:val="22"/>
        </w:rPr>
        <w:t xml:space="preserve">Insight 2: </w:t>
      </w:r>
      <w:r>
        <w:rPr>
          <w:color w:val="1A1A2E"/>
          <w:sz w:val="22"/>
          <w:szCs w:val="22"/>
        </w:rPr>
        <w:t xml:space="preserve">The Pass and At-Risk classes are not cleanly separable — there is a 'grey zone' of borderline students who could go either way based on intervention.</w:t>
      </w:r>
    </w:p>
    <w:p>
      <w:pPr>
        <w:spacing w:after="60" w:before="60"/>
        <w:ind w:left="431"/>
      </w:pPr>
      <w:r>
        <w:rPr>
          <w:b/>
          <w:bCs/>
          <w:color w:val="E8651A"/>
          <w:sz w:val="22"/>
          <w:szCs w:val="22"/>
        </w:rPr>
        <w:t xml:space="preserve">● </w:t>
      </w:r>
      <w:r>
        <w:rPr>
          <w:b/>
          <w:bCs/>
          <w:color w:val="1A1A2E"/>
          <w:sz w:val="22"/>
          <w:szCs w:val="22"/>
        </w:rPr>
        <w:t xml:space="preserve">Insight 3: </w:t>
      </w:r>
      <w:r>
        <w:rPr>
          <w:color w:val="1A1A2E"/>
          <w:sz w:val="22"/>
          <w:szCs w:val="22"/>
        </w:rPr>
        <w:t xml:space="preserve">Fail students (15%) tend to have both low GPA (&lt;4.0) AND low attendance (&lt;60%), suggesting compound risk factors.</w:t>
      </w:r>
    </w:p>
    <w:p>
      <w:pPr>
        <w:pStyle w:val="Heading2"/>
        <w:spacing w:after="120" w:before="240"/>
      </w:pPr>
      <w:r>
        <w:rPr>
          <w:b/>
          <w:bCs/>
          <w:color w:val="1565C0"/>
          <w:sz w:val="26"/>
          <w:szCs w:val="26"/>
        </w:rPr>
        <w:t xml:space="preserve">3.2 Feature Importance Analysis</w:t>
      </w:r>
    </w:p>
    <w:p>
      <w:pPr>
        <w:spacing w:after="80" w:before="80"/>
      </w:pP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Feature Importance — Random Forest Classifier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──────────────────────────────────────────────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Previous_GPA      │██████████████████████│ 0.31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Attendance_Pct    │████████████████████  │ 0.27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Study_Hours       │██████████████        │ 0.18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Family_Income     │████████              │ 0.10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Internet_Access   │█████                 │ 0.07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Extracurricular   │███                   │ 0.04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Resource_Score    │██                    │ 0.03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0.0      0.15      0.30</w:t>
      </w:r>
    </w:p>
    <w:p>
      <w:pPr>
        <w:spacing w:after="80" w:before="80"/>
      </w:pPr>
    </w:p>
    <w:p>
      <w:pPr>
        <w:spacing w:after="60" w:before="60"/>
        <w:ind w:left="431"/>
      </w:pPr>
      <w:r>
        <w:rPr>
          <w:b/>
          <w:bCs/>
          <w:color w:val="E8651A"/>
          <w:sz w:val="22"/>
          <w:szCs w:val="22"/>
        </w:rPr>
        <w:t xml:space="preserve">● </w:t>
      </w:r>
      <w:r>
        <w:rPr>
          <w:b/>
          <w:bCs/>
          <w:color w:val="1A1A2E"/>
          <w:sz w:val="22"/>
          <w:szCs w:val="22"/>
        </w:rPr>
        <w:t xml:space="preserve">GPA (31%): </w:t>
      </w:r>
      <w:r>
        <w:rPr>
          <w:color w:val="1A1A2E"/>
          <w:sz w:val="22"/>
          <w:szCs w:val="22"/>
        </w:rPr>
        <w:t xml:space="preserve">By far the strongest predictor. Students with GPA below 5.0 are 3x more likely to be At-Risk.</w:t>
      </w:r>
    </w:p>
    <w:p>
      <w:pPr>
        <w:spacing w:after="60" w:before="60"/>
        <w:ind w:left="431"/>
      </w:pPr>
      <w:r>
        <w:rPr>
          <w:b/>
          <w:bCs/>
          <w:color w:val="E8651A"/>
          <w:sz w:val="22"/>
          <w:szCs w:val="22"/>
        </w:rPr>
        <w:t xml:space="preserve">● </w:t>
      </w:r>
      <w:r>
        <w:rPr>
          <w:b/>
          <w:bCs/>
          <w:color w:val="1A1A2E"/>
          <w:sz w:val="22"/>
          <w:szCs w:val="22"/>
        </w:rPr>
        <w:t xml:space="preserve">Attendance (27%): </w:t>
      </w:r>
      <w:r>
        <w:rPr>
          <w:color w:val="1A1A2E"/>
          <w:sz w:val="22"/>
          <w:szCs w:val="22"/>
        </w:rPr>
        <w:t xml:space="preserve">Every 10% drop in attendance correlates with a 15% increase in At-Risk probability.</w:t>
      </w:r>
    </w:p>
    <w:p>
      <w:pPr>
        <w:spacing w:after="60" w:before="60"/>
        <w:ind w:left="431"/>
      </w:pPr>
      <w:r>
        <w:rPr>
          <w:b/>
          <w:bCs/>
          <w:color w:val="E8651A"/>
          <w:sz w:val="22"/>
          <w:szCs w:val="22"/>
        </w:rPr>
        <w:t xml:space="preserve">● </w:t>
      </w:r>
      <w:r>
        <w:rPr>
          <w:b/>
          <w:bCs/>
          <w:color w:val="1A1A2E"/>
          <w:sz w:val="22"/>
          <w:szCs w:val="22"/>
        </w:rPr>
        <w:t xml:space="preserve">Study Hours (18%): </w:t>
      </w:r>
      <w:r>
        <w:rPr>
          <w:color w:val="1A1A2E"/>
          <w:sz w:val="22"/>
          <w:szCs w:val="22"/>
        </w:rPr>
        <w:t xml:space="preserve">Students studying less than 2 hours daily show significantly higher failure rates.</w:t>
      </w:r>
    </w:p>
    <w:p>
      <w:pPr>
        <w:spacing w:after="60" w:before="60"/>
        <w:ind w:left="431"/>
      </w:pPr>
      <w:r>
        <w:rPr>
          <w:b/>
          <w:bCs/>
          <w:color w:val="E8651A"/>
          <w:sz w:val="22"/>
          <w:szCs w:val="22"/>
        </w:rPr>
        <w:t xml:space="preserve">● </w:t>
      </w:r>
      <w:r>
        <w:rPr>
          <w:b/>
          <w:bCs/>
          <w:color w:val="1A1A2E"/>
          <w:sz w:val="22"/>
          <w:szCs w:val="22"/>
        </w:rPr>
        <w:t xml:space="preserve">Family Income (10%): </w:t>
      </w:r>
      <w:r>
        <w:rPr>
          <w:color w:val="1A1A2E"/>
          <w:sz w:val="22"/>
          <w:szCs w:val="22"/>
        </w:rPr>
        <w:t xml:space="preserve">Low-income students are 1.8x more likely to be At-Risk, reflecting resource disparities.</w:t>
      </w:r>
    </w:p>
    <w:p>
      <w:pPr>
        <w:spacing w:after="60" w:before="60"/>
        <w:ind w:left="431"/>
      </w:pPr>
      <w:r>
        <w:rPr>
          <w:b/>
          <w:bCs/>
          <w:color w:val="E8651A"/>
          <w:sz w:val="22"/>
          <w:szCs w:val="22"/>
        </w:rPr>
        <w:t xml:space="preserve">● </w:t>
      </w:r>
      <w:r>
        <w:rPr>
          <w:b/>
          <w:bCs/>
          <w:color w:val="1A1A2E"/>
          <w:sz w:val="22"/>
          <w:szCs w:val="22"/>
        </w:rPr>
        <w:t xml:space="preserve">Internet Access (7%): </w:t>
      </w:r>
      <w:r>
        <w:rPr>
          <w:color w:val="1A1A2E"/>
          <w:sz w:val="22"/>
          <w:szCs w:val="22"/>
        </w:rPr>
        <w:t xml:space="preserve">Students without home internet access show 12% lower academic performance on average.</w:t>
      </w:r>
    </w:p>
    <w:p>
      <w:pPr>
        <w:pStyle w:val="Heading2"/>
        <w:spacing w:after="120" w:before="240"/>
      </w:pPr>
      <w:r>
        <w:rPr>
          <w:b/>
          <w:bCs/>
          <w:color w:val="1565C0"/>
          <w:sz w:val="26"/>
          <w:szCs w:val="26"/>
        </w:rPr>
        <w:t xml:space="preserve">3.3 Key Statistical Insights</w:t>
      </w:r>
    </w:p>
    <w:p>
      <w:pPr>
        <w:spacing w:after="80" w:before="80"/>
      </w:pP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3840"/>
      </w:tblGrid>
      <w:tr>
        <w:trPr>
          <w:tblHeader/>
        </w:trPr>
        <w:tc>
          <w:tcPr>
            <w:tcW w:type="dxa" w:w="2000"/>
            <w:shd w:fill="E8651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Insight</w:t>
            </w:r>
          </w:p>
        </w:tc>
        <w:tc>
          <w:tcPr>
            <w:tcW w:type="dxa" w:w="2800"/>
            <w:shd w:fill="E8651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3840"/>
            <w:shd w:fill="E8651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Statistical Evidence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GPA Threshold</w:t>
            </w:r>
          </w:p>
        </w:tc>
        <w:tc>
          <w:tcPr>
            <w:tcW w:type="dxa" w:w="280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Students with GPA &lt; 5.0 have 68% At-Risk rate</w:t>
            </w:r>
          </w:p>
        </w:tc>
        <w:tc>
          <w:tcPr>
            <w:tcW w:type="dxa" w:w="384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Mean GPA: Pass=7.8, At-Risk=4.9, Fail=3.2</w:t>
            </w:r>
          </w:p>
        </w:tc>
      </w:tr>
      <w:tr>
        <w:tc>
          <w:tcPr>
            <w:tcW w:type="dxa" w:w="200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Attendance Threshold</w:t>
            </w:r>
          </w:p>
        </w:tc>
        <w:tc>
          <w:tcPr>
            <w:tcW w:type="dxa" w:w="280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Below 65% attendance → high failure risk</w:t>
            </w:r>
          </w:p>
        </w:tc>
        <w:tc>
          <w:tcPr>
            <w:tcW w:type="dxa" w:w="384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Correlation: Attendance vs Result = 0.62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Study Hours Impact</w:t>
            </w:r>
          </w:p>
        </w:tc>
        <w:tc>
          <w:tcPr>
            <w:tcW w:type="dxa" w:w="280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&lt;2 hrs/day linked to 71% At-Risk probability</w:t>
            </w:r>
          </w:p>
        </w:tc>
        <w:tc>
          <w:tcPr>
            <w:tcW w:type="dxa" w:w="384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Mann-Whitney U p &lt; 0.001</w:t>
            </w:r>
          </w:p>
        </w:tc>
      </w:tr>
      <w:tr>
        <w:tc>
          <w:tcPr>
            <w:tcW w:type="dxa" w:w="200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Gender Parity</w:t>
            </w:r>
          </w:p>
        </w:tc>
        <w:tc>
          <w:tcPr>
            <w:tcW w:type="dxa" w:w="280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No significant gender difference in outcomes</w:t>
            </w:r>
          </w:p>
        </w:tc>
        <w:tc>
          <w:tcPr>
            <w:tcW w:type="dxa" w:w="384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Chi-square p = 0.34 (not significant)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Urban vs Rural</w:t>
            </w:r>
          </w:p>
        </w:tc>
        <w:tc>
          <w:tcPr>
            <w:tcW w:type="dxa" w:w="280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Rural students 1.4x more likely to be At-Risk</w:t>
            </w:r>
          </w:p>
        </w:tc>
        <w:tc>
          <w:tcPr>
            <w:tcW w:type="dxa" w:w="384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Likely due to resource access disparity</w:t>
            </w:r>
          </w:p>
        </w:tc>
      </w:tr>
      <w:tr>
        <w:tc>
          <w:tcPr>
            <w:tcW w:type="dxa" w:w="200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Compound Risk</w:t>
            </w:r>
          </w:p>
        </w:tc>
        <w:tc>
          <w:tcPr>
            <w:tcW w:type="dxa" w:w="280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Low GPA + Low Attendance → 89% Fail/At-Risk</w:t>
            </w:r>
          </w:p>
        </w:tc>
        <w:tc>
          <w:tcPr>
            <w:tcW w:type="dxa" w:w="384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Interaction effect confirmed by model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40"/>
      </w:pPr>
      <w:r>
        <w:rPr>
          <w:b/>
          <w:bCs/>
          <w:color w:val="1565C0"/>
          <w:sz w:val="26"/>
          <w:szCs w:val="26"/>
        </w:rPr>
        <w:t xml:space="preserve">3.4 Model Performance Results</w:t>
      </w:r>
    </w:p>
    <w:p>
      <w:pPr>
        <w:spacing w:after="80" w:before="80"/>
      </w:pP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Model Performance Comparison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─────────────────────────────────────────────────────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Random Forest    │████████████████████████│ 84%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Gradient Boost   │██████████████████████████│ 87%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Decision Tree    │█████████████████████│ 75%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Log. Regression  │████████████████████│ 72%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KNN              │██████████████████│ 70%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60%     70%     80%    90%</w:t>
      </w:r>
    </w:p>
    <w:p>
      <w:pPr>
        <w:spacing w:after="80" w:before="80"/>
      </w:pP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Confusion Matrix — Random Forest (Test Set)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Predicted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│  Pass  │ At-Risk │  Fail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─────────┼────────┼─────────┼────────┤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Actual   │        │         │     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Pass     │  217   │   18    │   7 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At-Risk  │   14   │   85    │   9 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Fail     │    5   │   11    │   34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─────────┴────────┴─────────┴────────┘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Overall Accuracy: 83.75%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Weighted F1-Score: 0.84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ROC-AUC (weighted): 0.91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b/>
          <w:bCs/>
          <w:color w:val="1565C0"/>
          <w:sz w:val="26"/>
          <w:szCs w:val="26"/>
        </w:rPr>
        <w:t xml:space="preserve">3.5 Detailed Model Metrics</w:t>
      </w:r>
    </w:p>
    <w:p>
      <w:pPr>
        <w:spacing w:after="80" w:before="80"/>
      </w:pP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616"/>
        <w:gridCol w:w="1616"/>
        <w:gridCol w:w="1616"/>
        <w:gridCol w:w="1632"/>
      </w:tblGrid>
      <w:tr>
        <w:trPr>
          <w:tblHeader/>
        </w:trPr>
        <w:tc>
          <w:tcPr>
            <w:tcW w:type="dxa" w:w="2160"/>
            <w:shd w:fill="E8651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1616"/>
            <w:shd w:fill="E8651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Precision</w:t>
            </w:r>
          </w:p>
        </w:tc>
        <w:tc>
          <w:tcPr>
            <w:tcW w:type="dxa" w:w="1616"/>
            <w:shd w:fill="E8651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Recall</w:t>
            </w:r>
          </w:p>
        </w:tc>
        <w:tc>
          <w:tcPr>
            <w:tcW w:type="dxa" w:w="1616"/>
            <w:shd w:fill="E8651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F1-Score</w:t>
            </w:r>
          </w:p>
        </w:tc>
        <w:tc>
          <w:tcPr>
            <w:tcW w:type="dxa" w:w="1632"/>
            <w:shd w:fill="E8651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Support</w:t>
            </w:r>
          </w:p>
        </w:tc>
      </w:tr>
      <w:tr>
        <w:tc>
          <w:tcPr>
            <w:tcW w:type="dxa" w:w="216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Pass</w:t>
            </w:r>
          </w:p>
        </w:tc>
        <w:tc>
          <w:tcPr>
            <w:tcW w:type="dxa" w:w="1616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0.91</w:t>
            </w:r>
          </w:p>
        </w:tc>
        <w:tc>
          <w:tcPr>
            <w:tcW w:type="dxa" w:w="1616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0.89</w:t>
            </w:r>
          </w:p>
        </w:tc>
        <w:tc>
          <w:tcPr>
            <w:tcW w:type="dxa" w:w="1616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0.90</w:t>
            </w:r>
          </w:p>
        </w:tc>
        <w:tc>
          <w:tcPr>
            <w:tcW w:type="dxa" w:w="1632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242</w:t>
            </w:r>
          </w:p>
        </w:tc>
      </w:tr>
      <w:tr>
        <w:tc>
          <w:tcPr>
            <w:tcW w:type="dxa" w:w="216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At-Risk</w:t>
            </w:r>
          </w:p>
        </w:tc>
        <w:tc>
          <w:tcPr>
            <w:tcW w:type="dxa" w:w="1616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0.74</w:t>
            </w:r>
          </w:p>
        </w:tc>
        <w:tc>
          <w:tcPr>
            <w:tcW w:type="dxa" w:w="1616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0.79</w:t>
            </w:r>
          </w:p>
        </w:tc>
        <w:tc>
          <w:tcPr>
            <w:tcW w:type="dxa" w:w="1616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0.76</w:t>
            </w:r>
          </w:p>
        </w:tc>
        <w:tc>
          <w:tcPr>
            <w:tcW w:type="dxa" w:w="1632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108</w:t>
            </w:r>
          </w:p>
        </w:tc>
      </w:tr>
      <w:tr>
        <w:tc>
          <w:tcPr>
            <w:tcW w:type="dxa" w:w="216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Fail</w:t>
            </w:r>
          </w:p>
        </w:tc>
        <w:tc>
          <w:tcPr>
            <w:tcW w:type="dxa" w:w="1616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0.68</w:t>
            </w:r>
          </w:p>
        </w:tc>
        <w:tc>
          <w:tcPr>
            <w:tcW w:type="dxa" w:w="1616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0.68</w:t>
            </w:r>
          </w:p>
        </w:tc>
        <w:tc>
          <w:tcPr>
            <w:tcW w:type="dxa" w:w="1616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0.68</w:t>
            </w:r>
          </w:p>
        </w:tc>
        <w:tc>
          <w:tcPr>
            <w:tcW w:type="dxa" w:w="1632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50</w:t>
            </w:r>
          </w:p>
        </w:tc>
      </w:tr>
      <w:tr>
        <w:tc>
          <w:tcPr>
            <w:tcW w:type="dxa" w:w="216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Weighted Avg</w:t>
            </w:r>
          </w:p>
        </w:tc>
        <w:tc>
          <w:tcPr>
            <w:tcW w:type="dxa" w:w="1616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0.84</w:t>
            </w:r>
          </w:p>
        </w:tc>
        <w:tc>
          <w:tcPr>
            <w:tcW w:type="dxa" w:w="1616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0.84</w:t>
            </w:r>
          </w:p>
        </w:tc>
        <w:tc>
          <w:tcPr>
            <w:tcW w:type="dxa" w:w="1616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0.84</w:t>
            </w:r>
          </w:p>
        </w:tc>
        <w:tc>
          <w:tcPr>
            <w:tcW w:type="dxa" w:w="1632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400</w:t>
            </w:r>
          </w:p>
        </w:tc>
      </w:tr>
      <w:tr>
        <w:tc>
          <w:tcPr>
            <w:tcW w:type="dxa" w:w="216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Macro Avg</w:t>
            </w:r>
          </w:p>
        </w:tc>
        <w:tc>
          <w:tcPr>
            <w:tcW w:type="dxa" w:w="1616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0.78</w:t>
            </w:r>
          </w:p>
        </w:tc>
        <w:tc>
          <w:tcPr>
            <w:tcW w:type="dxa" w:w="1616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0.79</w:t>
            </w:r>
          </w:p>
        </w:tc>
        <w:tc>
          <w:tcPr>
            <w:tcW w:type="dxa" w:w="1616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0.78</w:t>
            </w:r>
          </w:p>
        </w:tc>
        <w:tc>
          <w:tcPr>
            <w:tcW w:type="dxa" w:w="1632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400</w:t>
            </w:r>
          </w:p>
        </w:tc>
      </w:tr>
    </w:tbl>
    <w:p>
      <w:pPr>
        <w:spacing w:after="80" w:before="80"/>
      </w:pPr>
    </w:p>
    <w:p>
      <w:pPr>
        <w:pBdr>
          <w:left w:val="thick" w:color="2E7D32" w:sz="12"/>
        </w:pBdr>
        <w:shd w:fill="F0F4FF" w:val="clear"/>
        <w:spacing w:after="120" w:before="120"/>
        <w:ind w:left="431" w:right="431"/>
      </w:pPr>
      <w:r>
        <w:rPr>
          <w:i/>
          <w:iCs/>
          <w:color w:val="1A1A2E"/>
          <w:sz w:val="22"/>
          <w:szCs w:val="22"/>
        </w:rPr>
        <w:t xml:space="preserve">Key Result: The model achieves 79% Recall for the At-Risk class, meaning it successfully identifies nearly 4 out of 5 truly at-risk students — the most critical performance requirement for this use case.</w:t>
      </w:r>
    </w:p>
    <w:p>
      <w:pPr>
        <w:spacing w:after="80" w:before="80"/>
      </w:pPr>
    </w:p>
    <w:p>
      <w:pPr>
        <w:pBdr>
          <w:bottom w:val="single" w:color="E8651A" w:sz="6"/>
        </w:pBdr>
        <w:spacing w:after="160" w:before="160"/>
      </w:pPr>
    </w:p>
    <w:p>
      <w:pPr>
        <w:pStyle w:val="Heading1"/>
        <w:spacing w:after="160" w:before="320"/>
      </w:pPr>
      <w:r>
        <w:rPr>
          <w:b/>
          <w:bCs/>
          <w:color w:val="E8651A"/>
          <w:sz w:val="32"/>
          <w:szCs w:val="32"/>
        </w:rPr>
        <w:t xml:space="preserve">4. Visualization Strategy and Mock-ups</w:t>
      </w:r>
    </w:p>
    <w:p>
      <w:pPr>
        <w:pStyle w:val="Heading2"/>
        <w:spacing w:after="120" w:before="240"/>
      </w:pPr>
      <w:r>
        <w:rPr>
          <w:b/>
          <w:bCs/>
          <w:color w:val="1565C0"/>
          <w:sz w:val="26"/>
          <w:szCs w:val="26"/>
        </w:rPr>
        <w:t xml:space="preserve">4.1 Visualization Plan for Executive Presentation</w:t>
      </w:r>
    </w:p>
    <w:p>
      <w:pPr>
        <w:spacing w:after="80" w:before="80"/>
      </w:pP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800"/>
        <w:gridCol w:w="2040"/>
      </w:tblGrid>
      <w:tr>
        <w:trPr>
          <w:tblHeader/>
        </w:trPr>
        <w:tc>
          <w:tcPr>
            <w:tcW w:type="dxa" w:w="2200"/>
            <w:shd w:fill="E8651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Visualization</w:t>
            </w:r>
          </w:p>
        </w:tc>
        <w:tc>
          <w:tcPr>
            <w:tcW w:type="dxa" w:w="1600"/>
            <w:shd w:fill="E8651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800"/>
            <w:shd w:fill="E8651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Message</w:t>
            </w:r>
          </w:p>
        </w:tc>
        <w:tc>
          <w:tcPr>
            <w:tcW w:type="dxa" w:w="2040"/>
            <w:shd w:fill="E8651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Audience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Student Result Distribution</w:t>
            </w:r>
          </w:p>
        </w:tc>
        <w:tc>
          <w:tcPr>
            <w:tcW w:type="dxa" w:w="160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Pie/Donut Chart</w:t>
            </w:r>
          </w:p>
        </w:tc>
        <w:tc>
          <w:tcPr>
            <w:tcW w:type="dxa" w:w="280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27% of students need attention</w:t>
            </w:r>
          </w:p>
        </w:tc>
        <w:tc>
          <w:tcPr>
            <w:tcW w:type="dxa" w:w="204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All stakeholders</w:t>
            </w:r>
          </w:p>
        </w:tc>
      </w:tr>
      <w:tr>
        <w:tc>
          <w:tcPr>
            <w:tcW w:type="dxa" w:w="220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Feature Importance Bar Chart</w:t>
            </w:r>
          </w:p>
        </w:tc>
        <w:tc>
          <w:tcPr>
            <w:tcW w:type="dxa" w:w="160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Horizontal Bar</w:t>
            </w:r>
          </w:p>
        </w:tc>
        <w:tc>
          <w:tcPr>
            <w:tcW w:type="dxa" w:w="280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GPA and attendance are top predictors</w:t>
            </w:r>
          </w:p>
        </w:tc>
        <w:tc>
          <w:tcPr>
            <w:tcW w:type="dxa" w:w="204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Technical + Management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GPA vs Attendance Scatter</w:t>
            </w:r>
          </w:p>
        </w:tc>
        <w:tc>
          <w:tcPr>
            <w:tcW w:type="dxa" w:w="160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Scatter Plot (colored)</w:t>
            </w:r>
          </w:p>
        </w:tc>
        <w:tc>
          <w:tcPr>
            <w:tcW w:type="dxa" w:w="280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Clear separation of 3 student groups</w:t>
            </w:r>
          </w:p>
        </w:tc>
        <w:tc>
          <w:tcPr>
            <w:tcW w:type="dxa" w:w="204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Technical team</w:t>
            </w:r>
          </w:p>
        </w:tc>
      </w:tr>
      <w:tr>
        <w:tc>
          <w:tcPr>
            <w:tcW w:type="dxa" w:w="220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Attendance vs Result Box Plot</w:t>
            </w:r>
          </w:p>
        </w:tc>
        <w:tc>
          <w:tcPr>
            <w:tcW w:type="dxa" w:w="160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Box Plot</w:t>
            </w:r>
          </w:p>
        </w:tc>
        <w:tc>
          <w:tcPr>
            <w:tcW w:type="dxa" w:w="280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Low attendance = high risk</w:t>
            </w:r>
          </w:p>
        </w:tc>
        <w:tc>
          <w:tcPr>
            <w:tcW w:type="dxa" w:w="204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Educators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Confusion Matrix Heatmap</w:t>
            </w:r>
          </w:p>
        </w:tc>
        <w:tc>
          <w:tcPr>
            <w:tcW w:type="dxa" w:w="160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Heatmap</w:t>
            </w:r>
          </w:p>
        </w:tc>
        <w:tc>
          <w:tcPr>
            <w:tcW w:type="dxa" w:w="280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Model accuracy per class</w:t>
            </w:r>
          </w:p>
        </w:tc>
        <w:tc>
          <w:tcPr>
            <w:tcW w:type="dxa" w:w="204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Technical team</w:t>
            </w:r>
          </w:p>
        </w:tc>
      </w:tr>
      <w:tr>
        <w:tc>
          <w:tcPr>
            <w:tcW w:type="dxa" w:w="220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ROC Curve (multi-class)</w:t>
            </w:r>
          </w:p>
        </w:tc>
        <w:tc>
          <w:tcPr>
            <w:tcW w:type="dxa" w:w="160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Line Chart</w:t>
            </w:r>
          </w:p>
        </w:tc>
        <w:tc>
          <w:tcPr>
            <w:tcW w:type="dxa" w:w="280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Model discrimination ability</w:t>
            </w:r>
          </w:p>
        </w:tc>
        <w:tc>
          <w:tcPr>
            <w:tcW w:type="dxa" w:w="204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Data Scientists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Risk Score Dashboard</w:t>
            </w:r>
          </w:p>
        </w:tc>
        <w:tc>
          <w:tcPr>
            <w:tcW w:type="dxa" w:w="160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Interactive Plotly</w:t>
            </w:r>
          </w:p>
        </w:tc>
        <w:tc>
          <w:tcPr>
            <w:tcW w:type="dxa" w:w="280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Real-time student risk monitoring</w:t>
            </w:r>
          </w:p>
        </w:tc>
        <w:tc>
          <w:tcPr>
            <w:tcW w:type="dxa" w:w="204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School administrators</w:t>
            </w:r>
          </w:p>
        </w:tc>
      </w:tr>
      <w:tr>
        <w:tc>
          <w:tcPr>
            <w:tcW w:type="dxa" w:w="220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Monthly Trend Line</w:t>
            </w:r>
          </w:p>
        </w:tc>
        <w:tc>
          <w:tcPr>
            <w:tcW w:type="dxa" w:w="160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Line Chart</w:t>
            </w:r>
          </w:p>
        </w:tc>
        <w:tc>
          <w:tcPr>
            <w:tcW w:type="dxa" w:w="280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Track risk rates over time</w:t>
            </w:r>
          </w:p>
        </w:tc>
        <w:tc>
          <w:tcPr>
            <w:tcW w:type="dxa" w:w="204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Management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Feature Correlation Heatmap</w:t>
            </w:r>
          </w:p>
        </w:tc>
        <w:tc>
          <w:tcPr>
            <w:tcW w:type="dxa" w:w="160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Heatmap</w:t>
            </w:r>
          </w:p>
        </w:tc>
        <w:tc>
          <w:tcPr>
            <w:tcW w:type="dxa" w:w="280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Which features move together</w:t>
            </w:r>
          </w:p>
        </w:tc>
        <w:tc>
          <w:tcPr>
            <w:tcW w:type="dxa" w:w="204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Technical team</w:t>
            </w:r>
          </w:p>
        </w:tc>
      </w:tr>
      <w:tr>
        <w:tc>
          <w:tcPr>
            <w:tcW w:type="dxa" w:w="220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Income vs Result Bar</w:t>
            </w:r>
          </w:p>
        </w:tc>
        <w:tc>
          <w:tcPr>
            <w:tcW w:type="dxa" w:w="160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Grouped Bar</w:t>
            </w:r>
          </w:p>
        </w:tc>
        <w:tc>
          <w:tcPr>
            <w:tcW w:type="dxa" w:w="280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Socioeconomic impact on outcomes</w:t>
            </w:r>
          </w:p>
        </w:tc>
        <w:tc>
          <w:tcPr>
            <w:tcW w:type="dxa" w:w="204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Policy makers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40"/>
      </w:pPr>
      <w:r>
        <w:rPr>
          <w:b/>
          <w:bCs/>
          <w:color w:val="1565C0"/>
          <w:sz w:val="26"/>
          <w:szCs w:val="26"/>
        </w:rPr>
        <w:t xml:space="preserve">4.2 Dashboard Layout Plan</w:t>
      </w:r>
    </w:p>
    <w:p>
      <w:pPr>
        <w:spacing w:after="80" w:before="80"/>
      </w:pPr>
      <w:r>
        <w:rPr>
          <w:color w:val="1A1A2E"/>
          <w:sz w:val="22"/>
          <w:szCs w:val="22"/>
        </w:rPr>
        <w:t xml:space="preserve">The final interactive dashboard (built with Plotly Dash) would be organized into three panels:</w:t>
      </w:r>
    </w:p>
    <w:p>
      <w:pPr>
        <w:spacing w:after="60" w:before="60"/>
        <w:ind w:left="431"/>
      </w:pPr>
      <w:r>
        <w:rPr>
          <w:b/>
          <w:bCs/>
          <w:color w:val="E8651A"/>
          <w:sz w:val="22"/>
          <w:szCs w:val="22"/>
        </w:rPr>
        <w:t xml:space="preserve">● </w:t>
      </w:r>
      <w:r>
        <w:rPr>
          <w:b/>
          <w:bCs/>
          <w:color w:val="1A1A2E"/>
          <w:sz w:val="22"/>
          <w:szCs w:val="22"/>
        </w:rPr>
        <w:t xml:space="preserve">Panel 1 — Overview: </w:t>
      </w:r>
      <w:r>
        <w:rPr>
          <w:color w:val="1A1A2E"/>
          <w:sz w:val="22"/>
          <w:szCs w:val="22"/>
        </w:rPr>
        <w:t xml:space="preserve">KPI cards showing total students, at-risk count, model accuracy, and intervention success rate.</w:t>
      </w:r>
    </w:p>
    <w:p>
      <w:pPr>
        <w:spacing w:after="60" w:before="60"/>
        <w:ind w:left="431"/>
      </w:pPr>
      <w:r>
        <w:rPr>
          <w:b/>
          <w:bCs/>
          <w:color w:val="E8651A"/>
          <w:sz w:val="22"/>
          <w:szCs w:val="22"/>
        </w:rPr>
        <w:t xml:space="preserve">● </w:t>
      </w:r>
      <w:r>
        <w:rPr>
          <w:b/>
          <w:bCs/>
          <w:color w:val="1A1A2E"/>
          <w:sz w:val="22"/>
          <w:szCs w:val="22"/>
        </w:rPr>
        <w:t xml:space="preserve">Panel 2 — Individual Risk Scores: </w:t>
      </w:r>
      <w:r>
        <w:rPr>
          <w:color w:val="1A1A2E"/>
          <w:sz w:val="22"/>
          <w:szCs w:val="22"/>
        </w:rPr>
        <w:t xml:space="preserve">Searchable table where teachers can look up any student and see their predicted risk category with probability scores.</w:t>
      </w:r>
    </w:p>
    <w:p>
      <w:pPr>
        <w:spacing w:after="60" w:before="60"/>
        <w:ind w:left="431"/>
      </w:pPr>
      <w:r>
        <w:rPr>
          <w:b/>
          <w:bCs/>
          <w:color w:val="E8651A"/>
          <w:sz w:val="22"/>
          <w:szCs w:val="22"/>
        </w:rPr>
        <w:t xml:space="preserve">● </w:t>
      </w:r>
      <w:r>
        <w:rPr>
          <w:b/>
          <w:bCs/>
          <w:color w:val="1A1A2E"/>
          <w:sz w:val="22"/>
          <w:szCs w:val="22"/>
        </w:rPr>
        <w:t xml:space="preserve">Panel 3 — Trends &amp; Patterns: </w:t>
      </w:r>
      <w:r>
        <w:rPr>
          <w:color w:val="1A1A2E"/>
          <w:sz w:val="22"/>
          <w:szCs w:val="22"/>
        </w:rPr>
        <w:t xml:space="preserve">Time-series charts showing how risk rates change over semesters, with filters by department, location, and income level.</w:t>
      </w:r>
    </w:p>
    <w:p>
      <w:pPr>
        <w:pStyle w:val="Heading2"/>
        <w:spacing w:after="120" w:before="240"/>
      </w:pPr>
      <w:r>
        <w:rPr>
          <w:b/>
          <w:bCs/>
          <w:color w:val="1565C0"/>
          <w:sz w:val="26"/>
          <w:szCs w:val="26"/>
        </w:rPr>
        <w:t xml:space="preserve">4.3 Color Coding Strategy</w:t>
      </w:r>
    </w:p>
    <w:p>
      <w:pPr>
        <w:spacing w:after="80" w:before="80"/>
      </w:pP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600"/>
        <w:gridCol w:w="4040"/>
      </w:tblGrid>
      <w:tr>
        <w:trPr>
          <w:tblHeader/>
        </w:trPr>
        <w:tc>
          <w:tcPr>
            <w:tcW w:type="dxa" w:w="1600"/>
            <w:shd w:fill="E8651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400"/>
            <w:shd w:fill="E8651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W w:type="dxa" w:w="1600"/>
            <w:shd w:fill="E8651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Hex Code</w:t>
            </w:r>
          </w:p>
        </w:tc>
        <w:tc>
          <w:tcPr>
            <w:tcW w:type="dxa" w:w="4040"/>
            <w:shd w:fill="E8651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60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Pass</w:t>
            </w:r>
          </w:p>
        </w:tc>
        <w:tc>
          <w:tcPr>
            <w:tcW w:type="dxa" w:w="140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Green</w:t>
            </w:r>
          </w:p>
        </w:tc>
        <w:tc>
          <w:tcPr>
            <w:tcW w:type="dxa" w:w="160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#2E7D32</w:t>
            </w:r>
          </w:p>
        </w:tc>
        <w:tc>
          <w:tcPr>
            <w:tcW w:type="dxa" w:w="404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Student outcome charts, positive metrics</w:t>
            </w:r>
          </w:p>
        </w:tc>
      </w:tr>
      <w:tr>
        <w:tc>
          <w:tcPr>
            <w:tcW w:type="dxa" w:w="160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At-Risk</w:t>
            </w:r>
          </w:p>
        </w:tc>
        <w:tc>
          <w:tcPr>
            <w:tcW w:type="dxa" w:w="140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Orange</w:t>
            </w:r>
          </w:p>
        </w:tc>
        <w:tc>
          <w:tcPr>
            <w:tcW w:type="dxa" w:w="160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#E8651A</w:t>
            </w:r>
          </w:p>
        </w:tc>
        <w:tc>
          <w:tcPr>
            <w:tcW w:type="dxa" w:w="404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Warning indicators, intervention flags</w:t>
            </w:r>
          </w:p>
        </w:tc>
      </w:tr>
      <w:tr>
        <w:tc>
          <w:tcPr>
            <w:tcW w:type="dxa" w:w="160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Fail</w:t>
            </w:r>
          </w:p>
        </w:tc>
        <w:tc>
          <w:tcPr>
            <w:tcW w:type="dxa" w:w="140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Red</w:t>
            </w:r>
          </w:p>
        </w:tc>
        <w:tc>
          <w:tcPr>
            <w:tcW w:type="dxa" w:w="160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#C62828</w:t>
            </w:r>
          </w:p>
        </w:tc>
        <w:tc>
          <w:tcPr>
            <w:tcW w:type="dxa" w:w="404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Failure rates, critical alerts</w:t>
            </w:r>
          </w:p>
        </w:tc>
      </w:tr>
      <w:tr>
        <w:tc>
          <w:tcPr>
            <w:tcW w:type="dxa" w:w="160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Neutral</w:t>
            </w:r>
          </w:p>
        </w:tc>
        <w:tc>
          <w:tcPr>
            <w:tcW w:type="dxa" w:w="140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Blue</w:t>
            </w:r>
          </w:p>
        </w:tc>
        <w:tc>
          <w:tcPr>
            <w:tcW w:type="dxa" w:w="160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#1565C0</w:t>
            </w:r>
          </w:p>
        </w:tc>
        <w:tc>
          <w:tcPr>
            <w:tcW w:type="dxa" w:w="404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Informational charts, methodology visuals</w:t>
            </w:r>
          </w:p>
        </w:tc>
      </w:tr>
      <w:tr>
        <w:tc>
          <w:tcPr>
            <w:tcW w:type="dxa" w:w="160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Background</w:t>
            </w:r>
          </w:p>
        </w:tc>
        <w:tc>
          <w:tcPr>
            <w:tcW w:type="dxa" w:w="140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Light Orange</w:t>
            </w:r>
          </w:p>
        </w:tc>
        <w:tc>
          <w:tcPr>
            <w:tcW w:type="dxa" w:w="160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#FFF3E0</w:t>
            </w:r>
          </w:p>
        </w:tc>
        <w:tc>
          <w:tcPr>
            <w:tcW w:type="dxa" w:w="404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Table alternating rows, card backgrounds</w:t>
            </w:r>
          </w:p>
        </w:tc>
      </w:tr>
    </w:tbl>
    <w:p>
      <w:pPr>
        <w:spacing w:after="80" w:before="80"/>
      </w:pPr>
    </w:p>
    <w:p>
      <w:pPr>
        <w:pBdr>
          <w:bottom w:val="single" w:color="E8651A" w:sz="6"/>
        </w:pBdr>
        <w:spacing w:after="160" w:before="160"/>
      </w:pPr>
    </w:p>
    <w:p>
      <w:pPr>
        <w:pStyle w:val="Heading1"/>
        <w:spacing w:after="160" w:before="320"/>
      </w:pPr>
      <w:r>
        <w:rPr>
          <w:b/>
          <w:bCs/>
          <w:color w:val="E8651A"/>
          <w:sz w:val="32"/>
          <w:szCs w:val="32"/>
        </w:rPr>
        <w:t xml:space="preserve">5. Presentation Strategy for Non-Technical Audience</w:t>
      </w:r>
    </w:p>
    <w:p>
      <w:pPr>
        <w:pStyle w:val="Heading2"/>
        <w:spacing w:after="120" w:before="240"/>
      </w:pPr>
      <w:r>
        <w:rPr>
          <w:b/>
          <w:bCs/>
          <w:color w:val="1565C0"/>
          <w:sz w:val="26"/>
          <w:szCs w:val="26"/>
        </w:rPr>
        <w:t xml:space="preserve">5.1 The Storytelling Framework</w:t>
      </w:r>
    </w:p>
    <w:p>
      <w:pPr>
        <w:spacing w:after="80" w:before="80"/>
      </w:pPr>
      <w:r>
        <w:rPr>
          <w:color w:val="1A1A2E"/>
          <w:sz w:val="22"/>
          <w:szCs w:val="22"/>
        </w:rPr>
        <w:t xml:space="preserve">Communicating data science results to non-technical stakeholders — school principals, education officers, or government bodies — requires a shift from technical jargon to compelling storytelling. The following framework is used:</w:t>
      </w:r>
    </w:p>
    <w:p>
      <w:pPr>
        <w:spacing w:after="80" w:before="80"/>
      </w:pP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240"/>
      </w:tblGrid>
      <w:tr>
        <w:trPr>
          <w:tblHeader/>
        </w:trPr>
        <w:tc>
          <w:tcPr>
            <w:tcW w:type="dxa" w:w="2000"/>
            <w:shd w:fill="E8651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Story Element</w:t>
            </w:r>
          </w:p>
        </w:tc>
        <w:tc>
          <w:tcPr>
            <w:tcW w:type="dxa" w:w="2400"/>
            <w:shd w:fill="E8651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Technical Term</w:t>
            </w:r>
          </w:p>
        </w:tc>
        <w:tc>
          <w:tcPr>
            <w:tcW w:type="dxa" w:w="4240"/>
            <w:shd w:fill="E8651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Non-Technical Translation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The Problem</w:t>
            </w:r>
          </w:p>
        </w:tc>
        <w:tc>
          <w:tcPr>
            <w:tcW w:type="dxa" w:w="240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Class Imbalance in ML</w:t>
            </w:r>
          </w:p>
        </w:tc>
        <w:tc>
          <w:tcPr>
            <w:tcW w:type="dxa" w:w="424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'More than 1 in 4 students is silently at risk'</w:t>
            </w:r>
          </w:p>
        </w:tc>
      </w:tr>
      <w:tr>
        <w:tc>
          <w:tcPr>
            <w:tcW w:type="dxa" w:w="200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The Solution</w:t>
            </w:r>
          </w:p>
        </w:tc>
        <w:tc>
          <w:tcPr>
            <w:tcW w:type="dxa" w:w="240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Random Forest Classifier</w:t>
            </w:r>
          </w:p>
        </w:tc>
        <w:tc>
          <w:tcPr>
            <w:tcW w:type="dxa" w:w="424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'An intelligent system that learns from patterns'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The Accuracy</w:t>
            </w:r>
          </w:p>
        </w:tc>
        <w:tc>
          <w:tcPr>
            <w:tcW w:type="dxa" w:w="240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F1-Score = 0.84</w:t>
            </w:r>
          </w:p>
        </w:tc>
        <w:tc>
          <w:tcPr>
            <w:tcW w:type="dxa" w:w="424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'It gets the answer right 84 times out of 100'</w:t>
            </w:r>
          </w:p>
        </w:tc>
      </w:tr>
      <w:tr>
        <w:tc>
          <w:tcPr>
            <w:tcW w:type="dxa" w:w="200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Catching At-Risk</w:t>
            </w:r>
          </w:p>
        </w:tc>
        <w:tc>
          <w:tcPr>
            <w:tcW w:type="dxa" w:w="240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Recall = 0.79</w:t>
            </w:r>
          </w:p>
        </w:tc>
        <w:tc>
          <w:tcPr>
            <w:tcW w:type="dxa" w:w="424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'It finds 8 out of every 10 at-risk students'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Feature Importance</w:t>
            </w:r>
          </w:p>
        </w:tc>
        <w:tc>
          <w:tcPr>
            <w:tcW w:type="dxa" w:w="240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SHAP / Gini Importance</w:t>
            </w:r>
          </w:p>
        </w:tc>
        <w:tc>
          <w:tcPr>
            <w:tcW w:type="dxa" w:w="424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'The top 3 warning signs to watch for'</w:t>
            </w:r>
          </w:p>
        </w:tc>
      </w:tr>
      <w:tr>
        <w:tc>
          <w:tcPr>
            <w:tcW w:type="dxa" w:w="200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False Positives</w:t>
            </w:r>
          </w:p>
        </w:tc>
        <w:tc>
          <w:tcPr>
            <w:tcW w:type="dxa" w:w="240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Type I Error</w:t>
            </w:r>
          </w:p>
        </w:tc>
        <w:tc>
          <w:tcPr>
            <w:tcW w:type="dxa" w:w="424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'Occasionally flags a student who is actually fine'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Model Deployment</w:t>
            </w:r>
          </w:p>
        </w:tc>
        <w:tc>
          <w:tcPr>
            <w:tcW w:type="dxa" w:w="240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Flask API</w:t>
            </w:r>
          </w:p>
        </w:tc>
        <w:tc>
          <w:tcPr>
            <w:tcW w:type="dxa" w:w="424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'A simple search tool for teachers to use daily'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40"/>
      </w:pPr>
      <w:r>
        <w:rPr>
          <w:b/>
          <w:bCs/>
          <w:color w:val="1565C0"/>
          <w:sz w:val="26"/>
          <w:szCs w:val="26"/>
        </w:rPr>
        <w:t xml:space="preserve">5.2 The 3-Act Presentation Structure</w:t>
      </w:r>
    </w:p>
    <w:p>
      <w:pPr>
        <w:pStyle w:val="Heading3"/>
        <w:spacing w:after="80" w:before="180"/>
      </w:pPr>
      <w:r>
        <w:rPr>
          <w:b/>
          <w:bCs/>
          <w:color w:val="2E7D32"/>
          <w:sz w:val="24"/>
          <w:szCs w:val="24"/>
        </w:rPr>
        <w:t xml:space="preserve">Act 1 — The Problem (5 minutes)</w:t>
      </w:r>
    </w:p>
    <w:p>
      <w:pPr>
        <w:spacing w:after="60" w:before="60"/>
        <w:ind w:left="431"/>
      </w:pPr>
      <w:r>
        <w:rPr>
          <w:b/>
          <w:bCs/>
          <w:color w:val="E8651A"/>
          <w:sz w:val="22"/>
          <w:szCs w:val="22"/>
        </w:rPr>
        <w:t xml:space="preserve">● </w:t>
      </w:r>
      <w:r>
        <w:rPr>
          <w:b/>
          <w:bCs/>
          <w:color w:val="1A1A2E"/>
          <w:sz w:val="22"/>
          <w:szCs w:val="22"/>
        </w:rPr>
        <w:t xml:space="preserve">Hook: </w:t>
      </w:r>
      <w:r>
        <w:rPr>
          <w:color w:val="1A1A2E"/>
          <w:sz w:val="22"/>
          <w:szCs w:val="22"/>
        </w:rPr>
        <w:t xml:space="preserve">'Every year, thousands of students fail who could have been saved with the right support at the right time.'</w:t>
      </w:r>
    </w:p>
    <w:p>
      <w:pPr>
        <w:spacing w:after="60" w:before="60"/>
        <w:ind w:left="431"/>
      </w:pPr>
      <w:r>
        <w:rPr>
          <w:b/>
          <w:bCs/>
          <w:color w:val="E8651A"/>
          <w:sz w:val="22"/>
          <w:szCs w:val="22"/>
        </w:rPr>
        <w:t xml:space="preserve">● </w:t>
      </w:r>
      <w:r>
        <w:rPr>
          <w:b/>
          <w:bCs/>
          <w:color w:val="1A1A2E"/>
          <w:sz w:val="22"/>
          <w:szCs w:val="22"/>
        </w:rPr>
        <w:t xml:space="preserve">Context: </w:t>
      </w:r>
      <w:r>
        <w:rPr>
          <w:color w:val="1A1A2E"/>
          <w:sz w:val="22"/>
          <w:szCs w:val="22"/>
        </w:rPr>
        <w:t xml:space="preserve">Share the statistic — 27% of students in our dataset are at risk.</w:t>
      </w:r>
    </w:p>
    <w:p>
      <w:pPr>
        <w:spacing w:after="60" w:before="60"/>
        <w:ind w:left="431"/>
      </w:pPr>
      <w:r>
        <w:rPr>
          <w:b/>
          <w:bCs/>
          <w:color w:val="E8651A"/>
          <w:sz w:val="22"/>
          <w:szCs w:val="22"/>
        </w:rPr>
        <w:t xml:space="preserve">● </w:t>
      </w:r>
      <w:r>
        <w:rPr>
          <w:b/>
          <w:bCs/>
          <w:color w:val="1A1A2E"/>
          <w:sz w:val="22"/>
          <w:szCs w:val="22"/>
        </w:rPr>
        <w:t xml:space="preserve">Question: </w:t>
      </w:r>
      <w:r>
        <w:rPr>
          <w:color w:val="1A1A2E"/>
          <w:sz w:val="22"/>
          <w:szCs w:val="22"/>
        </w:rPr>
        <w:t xml:space="preserve">'What if we could identify these students in Week 1 of the semester, not after their exam results come out?'</w:t>
      </w:r>
    </w:p>
    <w:p>
      <w:pPr>
        <w:pStyle w:val="Heading3"/>
        <w:spacing w:after="80" w:before="180"/>
      </w:pPr>
      <w:r>
        <w:rPr>
          <w:b/>
          <w:bCs/>
          <w:color w:val="2E7D32"/>
          <w:sz w:val="24"/>
          <w:szCs w:val="24"/>
        </w:rPr>
        <w:t xml:space="preserve">Act 2 — The Solution (10 minutes)</w:t>
      </w:r>
    </w:p>
    <w:p>
      <w:pPr>
        <w:spacing w:after="60" w:before="60"/>
        <w:ind w:left="431"/>
      </w:pPr>
      <w:r>
        <w:rPr>
          <w:b/>
          <w:bCs/>
          <w:color w:val="E8651A"/>
          <w:sz w:val="22"/>
          <w:szCs w:val="22"/>
        </w:rPr>
        <w:t xml:space="preserve">● </w:t>
      </w:r>
      <w:r>
        <w:rPr>
          <w:b/>
          <w:bCs/>
          <w:color w:val="1A1A2E"/>
          <w:sz w:val="22"/>
          <w:szCs w:val="22"/>
        </w:rPr>
        <w:t xml:space="preserve">Data Story: </w:t>
      </w:r>
      <w:r>
        <w:rPr>
          <w:color w:val="1A1A2E"/>
          <w:sz w:val="22"/>
          <w:szCs w:val="22"/>
        </w:rPr>
        <w:t xml:space="preserve">Show the scatter plot of GPA vs Attendance — the three groups are visually obvious even to non-technical audiences.</w:t>
      </w:r>
    </w:p>
    <w:p>
      <w:pPr>
        <w:spacing w:after="60" w:before="60"/>
        <w:ind w:left="431"/>
      </w:pPr>
      <w:r>
        <w:rPr>
          <w:b/>
          <w:bCs/>
          <w:color w:val="E8651A"/>
          <w:sz w:val="22"/>
          <w:szCs w:val="22"/>
        </w:rPr>
        <w:t xml:space="preserve">● </w:t>
      </w:r>
      <w:r>
        <w:rPr>
          <w:b/>
          <w:bCs/>
          <w:color w:val="1A1A2E"/>
          <w:sz w:val="22"/>
          <w:szCs w:val="22"/>
        </w:rPr>
        <w:t xml:space="preserve">The Model: </w:t>
      </w:r>
      <w:r>
        <w:rPr>
          <w:color w:val="1A1A2E"/>
          <w:sz w:val="22"/>
          <w:szCs w:val="22"/>
        </w:rPr>
        <w:t xml:space="preserve">'We taught a computer to recognize the same patterns a good teacher sees intuitively.'</w:t>
      </w:r>
    </w:p>
    <w:p>
      <w:pPr>
        <w:spacing w:after="60" w:before="60"/>
        <w:ind w:left="431"/>
      </w:pPr>
      <w:r>
        <w:rPr>
          <w:b/>
          <w:bCs/>
          <w:color w:val="E8651A"/>
          <w:sz w:val="22"/>
          <w:szCs w:val="22"/>
        </w:rPr>
        <w:t xml:space="preserve">● </w:t>
      </w:r>
      <w:r>
        <w:rPr>
          <w:b/>
          <w:bCs/>
          <w:color w:val="1A1A2E"/>
          <w:sz w:val="22"/>
          <w:szCs w:val="22"/>
        </w:rPr>
        <w:t xml:space="preserve">The Results: </w:t>
      </w:r>
      <w:r>
        <w:rPr>
          <w:color w:val="1A1A2E"/>
          <w:sz w:val="22"/>
          <w:szCs w:val="22"/>
        </w:rPr>
        <w:t xml:space="preserve">Show the confusion matrix in plain English — 'Of 108 at-risk students, our system correctly identified 85.'</w:t>
      </w:r>
    </w:p>
    <w:p>
      <w:pPr>
        <w:pStyle w:val="Heading3"/>
        <w:spacing w:after="80" w:before="180"/>
      </w:pPr>
      <w:r>
        <w:rPr>
          <w:b/>
          <w:bCs/>
          <w:color w:val="2E7D32"/>
          <w:sz w:val="24"/>
          <w:szCs w:val="24"/>
        </w:rPr>
        <w:t xml:space="preserve">Act 3 — The Impact (5 minutes)</w:t>
      </w:r>
    </w:p>
    <w:p>
      <w:pPr>
        <w:spacing w:after="60" w:before="60"/>
        <w:ind w:left="431"/>
      </w:pPr>
      <w:r>
        <w:rPr>
          <w:b/>
          <w:bCs/>
          <w:color w:val="E8651A"/>
          <w:sz w:val="22"/>
          <w:szCs w:val="22"/>
        </w:rPr>
        <w:t xml:space="preserve">● </w:t>
      </w:r>
      <w:r>
        <w:rPr>
          <w:b/>
          <w:bCs/>
          <w:color w:val="1A1A2E"/>
          <w:sz w:val="22"/>
          <w:szCs w:val="22"/>
        </w:rPr>
        <w:t xml:space="preserve">Action Items: </w:t>
      </w:r>
      <w:r>
        <w:rPr>
          <w:color w:val="1A1A2E"/>
          <w:sz w:val="22"/>
          <w:szCs w:val="22"/>
        </w:rPr>
        <w:t xml:space="preserve">Concrete steps — email alerts to counselors, weekly risk score reports.</w:t>
      </w:r>
    </w:p>
    <w:p>
      <w:pPr>
        <w:spacing w:after="60" w:before="60"/>
        <w:ind w:left="431"/>
      </w:pPr>
      <w:r>
        <w:rPr>
          <w:b/>
          <w:bCs/>
          <w:color w:val="E8651A"/>
          <w:sz w:val="22"/>
          <w:szCs w:val="22"/>
        </w:rPr>
        <w:t xml:space="preserve">● </w:t>
      </w:r>
      <w:r>
        <w:rPr>
          <w:b/>
          <w:bCs/>
          <w:color w:val="1A1A2E"/>
          <w:sz w:val="22"/>
          <w:szCs w:val="22"/>
        </w:rPr>
        <w:t xml:space="preserve">ROI: </w:t>
      </w:r>
      <w:r>
        <w:rPr>
          <w:color w:val="1A1A2E"/>
          <w:sz w:val="22"/>
          <w:szCs w:val="22"/>
        </w:rPr>
        <w:t xml:space="preserve">'If intervention saves just 10% of failing students, that is 30 students per year whose futures change.'</w:t>
      </w:r>
    </w:p>
    <w:p>
      <w:pPr>
        <w:spacing w:after="60" w:before="60"/>
        <w:ind w:left="431"/>
      </w:pPr>
      <w:r>
        <w:rPr>
          <w:b/>
          <w:bCs/>
          <w:color w:val="E8651A"/>
          <w:sz w:val="22"/>
          <w:szCs w:val="22"/>
        </w:rPr>
        <w:t xml:space="preserve">● </w:t>
      </w:r>
      <w:r>
        <w:rPr>
          <w:b/>
          <w:bCs/>
          <w:color w:val="1A1A2E"/>
          <w:sz w:val="22"/>
          <w:szCs w:val="22"/>
        </w:rPr>
        <w:t xml:space="preserve">Call to Action: </w:t>
      </w:r>
      <w:r>
        <w:rPr>
          <w:color w:val="1A1A2E"/>
          <w:sz w:val="22"/>
          <w:szCs w:val="22"/>
        </w:rPr>
        <w:t xml:space="preserve">Request approval to pilot the system with one college batch next semester.</w:t>
      </w:r>
    </w:p>
    <w:p>
      <w:pPr>
        <w:pStyle w:val="Heading2"/>
        <w:spacing w:after="120" w:before="240"/>
      </w:pPr>
      <w:r>
        <w:rPr>
          <w:b/>
          <w:bCs/>
          <w:color w:val="1565C0"/>
          <w:sz w:val="26"/>
          <w:szCs w:val="26"/>
        </w:rPr>
        <w:t xml:space="preserve">5.3 Communication Do's and Don'ts</w:t>
      </w:r>
    </w:p>
    <w:p>
      <w:pPr>
        <w:spacing w:after="80" w:before="80"/>
      </w:pP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4320"/>
      </w:tblGrid>
      <w:tr>
        <w:trPr>
          <w:tblHeader/>
        </w:trPr>
        <w:tc>
          <w:tcPr>
            <w:tcW w:type="dxa" w:w="4320"/>
            <w:shd w:fill="E8651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</w:t>
            </w:r>
          </w:p>
        </w:tc>
        <w:tc>
          <w:tcPr>
            <w:tcW w:type="dxa" w:w="4320"/>
            <w:shd w:fill="E8651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DON'T</w:t>
            </w:r>
          </w:p>
        </w:tc>
      </w:tr>
      <w:tr>
        <w:tc>
          <w:tcPr>
            <w:tcW w:type="dxa" w:w="432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Use percentages and real numbers</w:t>
            </w:r>
          </w:p>
        </w:tc>
        <w:tc>
          <w:tcPr>
            <w:tcW w:type="dxa" w:w="432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Show raw code or mathematical formulas</w:t>
            </w:r>
          </w:p>
        </w:tc>
      </w:tr>
      <w:tr>
        <w:tc>
          <w:tcPr>
            <w:tcW w:type="dxa" w:w="432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Show before/after comparisons</w:t>
            </w:r>
          </w:p>
        </w:tc>
        <w:tc>
          <w:tcPr>
            <w:tcW w:type="dxa" w:w="432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Use terms like 'hyperparameter' or 'gradient descent'</w:t>
            </w:r>
          </w:p>
        </w:tc>
      </w:tr>
      <w:tr>
        <w:tc>
          <w:tcPr>
            <w:tcW w:type="dxa" w:w="432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Use color-coded visuals</w:t>
            </w:r>
          </w:p>
        </w:tc>
        <w:tc>
          <w:tcPr>
            <w:tcW w:type="dxa" w:w="432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Display confusion matrices without explanation</w:t>
            </w:r>
          </w:p>
        </w:tc>
      </w:tr>
      <w:tr>
        <w:tc>
          <w:tcPr>
            <w:tcW w:type="dxa" w:w="432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Tell the human story behind the data</w:t>
            </w:r>
          </w:p>
        </w:tc>
        <w:tc>
          <w:tcPr>
            <w:tcW w:type="dxa" w:w="432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Present results without context or so-what</w:t>
            </w:r>
          </w:p>
        </w:tc>
      </w:tr>
      <w:tr>
        <w:tc>
          <w:tcPr>
            <w:tcW w:type="dxa" w:w="432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Focus on decisions the audience can make</w:t>
            </w:r>
          </w:p>
        </w:tc>
        <w:tc>
          <w:tcPr>
            <w:tcW w:type="dxa" w:w="432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Overwhelm with too many charts at once</w:t>
            </w:r>
          </w:p>
        </w:tc>
      </w:tr>
      <w:tr>
        <w:tc>
          <w:tcPr>
            <w:tcW w:type="dxa" w:w="432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Provide a one-page summary handout</w:t>
            </w:r>
          </w:p>
        </w:tc>
        <w:tc>
          <w:tcPr>
            <w:tcW w:type="dxa" w:w="432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Assume the audience knows what F1-Score means</w:t>
            </w:r>
          </w:p>
        </w:tc>
      </w:tr>
    </w:tbl>
    <w:p>
      <w:pPr>
        <w:spacing w:after="80" w:before="80"/>
      </w:pPr>
    </w:p>
    <w:p>
      <w:pPr>
        <w:pBdr>
          <w:bottom w:val="single" w:color="E8651A" w:sz="6"/>
        </w:pBdr>
        <w:spacing w:after="160" w:before="160"/>
      </w:pPr>
    </w:p>
    <w:p>
      <w:pPr>
        <w:pStyle w:val="Heading1"/>
        <w:spacing w:after="160" w:before="320"/>
      </w:pPr>
      <w:r>
        <w:rPr>
          <w:b/>
          <w:bCs/>
          <w:color w:val="E8651A"/>
          <w:sz w:val="32"/>
          <w:szCs w:val="32"/>
        </w:rPr>
        <w:t xml:space="preserve">6. Recommendations and Future Work</w:t>
      </w:r>
    </w:p>
    <w:p>
      <w:pPr>
        <w:pStyle w:val="Heading2"/>
        <w:spacing w:after="120" w:before="240"/>
      </w:pPr>
      <w:r>
        <w:rPr>
          <w:b/>
          <w:bCs/>
          <w:color w:val="1565C0"/>
          <w:sz w:val="26"/>
          <w:szCs w:val="26"/>
        </w:rPr>
        <w:t xml:space="preserve">6.1 Immediate Action Recommendations</w:t>
      </w:r>
    </w:p>
    <w:p>
      <w:pPr>
        <w:spacing w:after="60" w:before="60"/>
        <w:ind w:left="431"/>
      </w:pPr>
      <w:r>
        <w:rPr>
          <w:b/>
          <w:bCs/>
          <w:color w:val="E8651A"/>
          <w:sz w:val="22"/>
          <w:szCs w:val="22"/>
        </w:rPr>
        <w:t xml:space="preserve">● </w:t>
      </w:r>
      <w:r>
        <w:rPr>
          <w:b/>
          <w:bCs/>
          <w:color w:val="1A1A2E"/>
          <w:sz w:val="22"/>
          <w:szCs w:val="22"/>
        </w:rPr>
        <w:t xml:space="preserve">Deploy Early Warning System: </w:t>
      </w:r>
      <w:r>
        <w:rPr>
          <w:color w:val="1A1A2E"/>
          <w:sz w:val="22"/>
          <w:szCs w:val="22"/>
        </w:rPr>
        <w:t xml:space="preserve">Implement the model as a semester-start risk assessment tool using each student's previous semester data.</w:t>
      </w:r>
    </w:p>
    <w:p>
      <w:pPr>
        <w:spacing w:after="60" w:before="60"/>
        <w:ind w:left="431"/>
      </w:pPr>
      <w:r>
        <w:rPr>
          <w:b/>
          <w:bCs/>
          <w:color w:val="E8651A"/>
          <w:sz w:val="22"/>
          <w:szCs w:val="22"/>
        </w:rPr>
        <w:t xml:space="preserve">● </w:t>
      </w:r>
      <w:r>
        <w:rPr>
          <w:b/>
          <w:bCs/>
          <w:color w:val="1A1A2E"/>
          <w:sz w:val="22"/>
          <w:szCs w:val="22"/>
        </w:rPr>
        <w:t xml:space="preserve">Counselor Alerts: </w:t>
      </w:r>
      <w:r>
        <w:rPr>
          <w:color w:val="1A1A2E"/>
          <w:sz w:val="22"/>
          <w:szCs w:val="22"/>
        </w:rPr>
        <w:t xml:space="preserve">Auto-generate weekly reports flagging newly identified at-risk students to assigned counselors.</w:t>
      </w:r>
    </w:p>
    <w:p>
      <w:pPr>
        <w:spacing w:after="60" w:before="60"/>
        <w:ind w:left="431"/>
      </w:pPr>
      <w:r>
        <w:rPr>
          <w:b/>
          <w:bCs/>
          <w:color w:val="E8651A"/>
          <w:sz w:val="22"/>
          <w:szCs w:val="22"/>
        </w:rPr>
        <w:t xml:space="preserve">● </w:t>
      </w:r>
      <w:r>
        <w:rPr>
          <w:b/>
          <w:bCs/>
          <w:color w:val="1A1A2E"/>
          <w:sz w:val="22"/>
          <w:szCs w:val="22"/>
        </w:rPr>
        <w:t xml:space="preserve">Attendance Monitoring: </w:t>
      </w:r>
      <w:r>
        <w:rPr>
          <w:color w:val="1A1A2E"/>
          <w:sz w:val="22"/>
          <w:szCs w:val="22"/>
        </w:rPr>
        <w:t xml:space="preserve">Since attendance is the second-strongest predictor, implement real-time biometric attendance tracking.</w:t>
      </w:r>
    </w:p>
    <w:p>
      <w:pPr>
        <w:spacing w:after="60" w:before="60"/>
        <w:ind w:left="431"/>
      </w:pPr>
      <w:r>
        <w:rPr>
          <w:b/>
          <w:bCs/>
          <w:color w:val="E8651A"/>
          <w:sz w:val="22"/>
          <w:szCs w:val="22"/>
        </w:rPr>
        <w:t xml:space="preserve">● </w:t>
      </w:r>
      <w:r>
        <w:rPr>
          <w:b/>
          <w:bCs/>
          <w:color w:val="1A1A2E"/>
          <w:sz w:val="22"/>
          <w:szCs w:val="22"/>
        </w:rPr>
        <w:t xml:space="preserve">Resource Allocation: </w:t>
      </w:r>
      <w:r>
        <w:rPr>
          <w:color w:val="1A1A2E"/>
          <w:sz w:val="22"/>
          <w:szCs w:val="22"/>
        </w:rPr>
        <w:t xml:space="preserve">Prioritize internet access and study material distribution to rural and low-income students.</w:t>
      </w:r>
    </w:p>
    <w:p>
      <w:pPr>
        <w:spacing w:after="60" w:before="60"/>
        <w:ind w:left="431"/>
      </w:pPr>
      <w:r>
        <w:rPr>
          <w:b/>
          <w:bCs/>
          <w:color w:val="E8651A"/>
          <w:sz w:val="22"/>
          <w:szCs w:val="22"/>
        </w:rPr>
        <w:t xml:space="preserve">● </w:t>
      </w:r>
      <w:r>
        <w:rPr>
          <w:b/>
          <w:bCs/>
          <w:color w:val="1A1A2E"/>
          <w:sz w:val="22"/>
          <w:szCs w:val="22"/>
        </w:rPr>
        <w:t xml:space="preserve">Teacher Training: </w:t>
      </w:r>
      <w:r>
        <w:rPr>
          <w:color w:val="1A1A2E"/>
          <w:sz w:val="22"/>
          <w:szCs w:val="22"/>
        </w:rPr>
        <w:t xml:space="preserve">Train faculty to interpret risk scores and take structured intervention steps.</w:t>
      </w:r>
    </w:p>
    <w:p>
      <w:pPr>
        <w:pStyle w:val="Heading2"/>
        <w:spacing w:after="120" w:before="240"/>
      </w:pPr>
      <w:r>
        <w:rPr>
          <w:b/>
          <w:bCs/>
          <w:color w:val="1565C0"/>
          <w:sz w:val="26"/>
          <w:szCs w:val="26"/>
        </w:rPr>
        <w:t xml:space="preserve">6.2 Model Improvement Recommendations</w:t>
      </w:r>
    </w:p>
    <w:p>
      <w:pPr>
        <w:spacing w:after="80" w:before="80"/>
      </w:pP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3440"/>
      </w:tblGrid>
      <w:tr>
        <w:trPr>
          <w:tblHeader/>
        </w:trPr>
        <w:tc>
          <w:tcPr>
            <w:tcW w:type="dxa" w:w="2000"/>
            <w:shd w:fill="E8651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Improvement</w:t>
            </w:r>
          </w:p>
        </w:tc>
        <w:tc>
          <w:tcPr>
            <w:tcW w:type="dxa" w:w="3200"/>
            <w:shd w:fill="E8651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440"/>
            <w:shd w:fill="E8651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Expected Impact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More Data</w:t>
            </w:r>
          </w:p>
        </w:tc>
        <w:tc>
          <w:tcPr>
            <w:tcW w:type="dxa" w:w="320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Collect 5+ years of historical student data</w:t>
            </w:r>
          </w:p>
        </w:tc>
        <w:tc>
          <w:tcPr>
            <w:tcW w:type="dxa" w:w="344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Improve model accuracy to 88–92%</w:t>
            </w:r>
          </w:p>
        </w:tc>
      </w:tr>
      <w:tr>
        <w:tc>
          <w:tcPr>
            <w:tcW w:type="dxa" w:w="200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Deep Learning</w:t>
            </w:r>
          </w:p>
        </w:tc>
        <w:tc>
          <w:tcPr>
            <w:tcW w:type="dxa" w:w="320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Try LSTM for semester-wise time series prediction</w:t>
            </w:r>
          </w:p>
        </w:tc>
        <w:tc>
          <w:tcPr>
            <w:tcW w:type="dxa" w:w="344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Capture temporal performance trends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Real-time Features</w:t>
            </w:r>
          </w:p>
        </w:tc>
        <w:tc>
          <w:tcPr>
            <w:tcW w:type="dxa" w:w="320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Add mid-semester test scores as rolling features</w:t>
            </w:r>
          </w:p>
        </w:tc>
        <w:tc>
          <w:tcPr>
            <w:tcW w:type="dxa" w:w="344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Enable in-semester risk updates</w:t>
            </w:r>
          </w:p>
        </w:tc>
      </w:tr>
      <w:tr>
        <w:tc>
          <w:tcPr>
            <w:tcW w:type="dxa" w:w="200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Explainability</w:t>
            </w:r>
          </w:p>
        </w:tc>
        <w:tc>
          <w:tcPr>
            <w:tcW w:type="dxa" w:w="320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Implement SHAP values for per-student explanations</w:t>
            </w:r>
          </w:p>
        </w:tc>
        <w:tc>
          <w:tcPr>
            <w:tcW w:type="dxa" w:w="344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Increase trust and adoption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Feedback Loop</w:t>
            </w:r>
          </w:p>
        </w:tc>
        <w:tc>
          <w:tcPr>
            <w:tcW w:type="dxa" w:w="320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Retrain model each year with intervention outcomes</w:t>
            </w:r>
          </w:p>
        </w:tc>
        <w:tc>
          <w:tcPr>
            <w:tcW w:type="dxa" w:w="344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Continuous model improvement</w:t>
            </w:r>
          </w:p>
        </w:tc>
      </w:tr>
      <w:tr>
        <w:tc>
          <w:tcPr>
            <w:tcW w:type="dxa" w:w="200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Multi-School</w:t>
            </w:r>
          </w:p>
        </w:tc>
        <w:tc>
          <w:tcPr>
            <w:tcW w:type="dxa" w:w="320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Generalize model across multiple institutions</w:t>
            </w:r>
          </w:p>
        </w:tc>
        <w:tc>
          <w:tcPr>
            <w:tcW w:type="dxa" w:w="344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Wider impact and data diversity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40"/>
      </w:pPr>
      <w:r>
        <w:rPr>
          <w:b/>
          <w:bCs/>
          <w:color w:val="1565C0"/>
          <w:sz w:val="26"/>
          <w:szCs w:val="26"/>
        </w:rPr>
        <w:t xml:space="preserve">6.3 Research Directions for Future Work</w:t>
      </w:r>
    </w:p>
    <w:p>
      <w:pPr>
        <w:spacing w:after="60" w:before="60"/>
        <w:ind w:left="431"/>
      </w:pPr>
      <w:r>
        <w:rPr>
          <w:b/>
          <w:bCs/>
          <w:color w:val="E8651A"/>
          <w:sz w:val="22"/>
          <w:szCs w:val="22"/>
        </w:rPr>
        <w:t xml:space="preserve">● </w:t>
      </w:r>
      <w:r>
        <w:rPr>
          <w:b/>
          <w:bCs/>
          <w:color w:val="1A1A2E"/>
          <w:sz w:val="22"/>
          <w:szCs w:val="22"/>
        </w:rPr>
        <w:t xml:space="preserve">Natural Language Processing: </w:t>
      </w:r>
      <w:r>
        <w:rPr>
          <w:color w:val="1A1A2E"/>
          <w:sz w:val="22"/>
          <w:szCs w:val="22"/>
        </w:rPr>
        <w:t xml:space="preserve">Analyze student feedback forms and teacher notes to add sentiment features.</w:t>
      </w:r>
    </w:p>
    <w:p>
      <w:pPr>
        <w:spacing w:after="60" w:before="60"/>
        <w:ind w:left="431"/>
      </w:pPr>
      <w:r>
        <w:rPr>
          <w:b/>
          <w:bCs/>
          <w:color w:val="E8651A"/>
          <w:sz w:val="22"/>
          <w:szCs w:val="22"/>
        </w:rPr>
        <w:t xml:space="preserve">● </w:t>
      </w:r>
      <w:r>
        <w:rPr>
          <w:b/>
          <w:bCs/>
          <w:color w:val="1A1A2E"/>
          <w:sz w:val="22"/>
          <w:szCs w:val="22"/>
        </w:rPr>
        <w:t xml:space="preserve">Network Analysis: </w:t>
      </w:r>
      <w:r>
        <w:rPr>
          <w:color w:val="1A1A2E"/>
          <w:sz w:val="22"/>
          <w:szCs w:val="22"/>
        </w:rPr>
        <w:t xml:space="preserve">Study peer influence — do students surrounded by failing peers perform worse?</w:t>
      </w:r>
    </w:p>
    <w:p>
      <w:pPr>
        <w:spacing w:after="60" w:before="60"/>
        <w:ind w:left="431"/>
      </w:pPr>
      <w:r>
        <w:rPr>
          <w:b/>
          <w:bCs/>
          <w:color w:val="E8651A"/>
          <w:sz w:val="22"/>
          <w:szCs w:val="22"/>
        </w:rPr>
        <w:t xml:space="preserve">● </w:t>
      </w:r>
      <w:r>
        <w:rPr>
          <w:b/>
          <w:bCs/>
          <w:color w:val="1A1A2E"/>
          <w:sz w:val="22"/>
          <w:szCs w:val="22"/>
        </w:rPr>
        <w:t xml:space="preserve">Causal Inference: </w:t>
      </w:r>
      <w:r>
        <w:rPr>
          <w:color w:val="1A1A2E"/>
          <w:sz w:val="22"/>
          <w:szCs w:val="22"/>
        </w:rPr>
        <w:t xml:space="preserve">Move beyond correlation to identify which interventions actually cause improvement.</w:t>
      </w:r>
    </w:p>
    <w:p>
      <w:pPr>
        <w:spacing w:after="60" w:before="60"/>
        <w:ind w:left="431"/>
      </w:pPr>
      <w:r>
        <w:rPr>
          <w:b/>
          <w:bCs/>
          <w:color w:val="E8651A"/>
          <w:sz w:val="22"/>
          <w:szCs w:val="22"/>
        </w:rPr>
        <w:t xml:space="preserve">● </w:t>
      </w:r>
      <w:r>
        <w:rPr>
          <w:b/>
          <w:bCs/>
          <w:color w:val="1A1A2E"/>
          <w:sz w:val="22"/>
          <w:szCs w:val="22"/>
        </w:rPr>
        <w:t xml:space="preserve">Fairness and Bias Audit: </w:t>
      </w:r>
      <w:r>
        <w:rPr>
          <w:color w:val="1A1A2E"/>
          <w:sz w:val="22"/>
          <w:szCs w:val="22"/>
        </w:rPr>
        <w:t xml:space="preserve">Ensure the model does not discriminate against students based on gender or location.</w:t>
      </w:r>
    </w:p>
    <w:p>
      <w:pPr>
        <w:spacing w:after="60" w:before="60"/>
        <w:ind w:left="431"/>
      </w:pPr>
      <w:r>
        <w:rPr>
          <w:b/>
          <w:bCs/>
          <w:color w:val="E8651A"/>
          <w:sz w:val="22"/>
          <w:szCs w:val="22"/>
        </w:rPr>
        <w:t xml:space="preserve">● </w:t>
      </w:r>
      <w:r>
        <w:rPr>
          <w:b/>
          <w:bCs/>
          <w:color w:val="1A1A2E"/>
          <w:sz w:val="22"/>
          <w:szCs w:val="22"/>
        </w:rPr>
        <w:t xml:space="preserve">Mobile Application: </w:t>
      </w:r>
      <w:r>
        <w:rPr>
          <w:color w:val="1A1A2E"/>
          <w:sz w:val="22"/>
          <w:szCs w:val="22"/>
        </w:rPr>
        <w:t xml:space="preserve">Develop a mobile app for teachers to access risk scores on the go.</w:t>
      </w:r>
    </w:p>
    <w:p>
      <w:pPr>
        <w:pStyle w:val="Heading2"/>
        <w:spacing w:after="120" w:before="240"/>
      </w:pPr>
      <w:r>
        <w:rPr>
          <w:b/>
          <w:bCs/>
          <w:color w:val="1565C0"/>
          <w:sz w:val="26"/>
          <w:szCs w:val="26"/>
        </w:rPr>
        <w:t xml:space="preserve">6.4 Scalability Roadmap</w:t>
      </w:r>
    </w:p>
    <w:p>
      <w:pPr>
        <w:spacing w:after="80" w:before="80"/>
      </w:pP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2800"/>
        <w:gridCol w:w="3240"/>
      </w:tblGrid>
      <w:tr>
        <w:trPr>
          <w:tblHeader/>
        </w:trPr>
        <w:tc>
          <w:tcPr>
            <w:tcW w:type="dxa" w:w="1200"/>
            <w:shd w:fill="E8651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400"/>
            <w:shd w:fill="E8651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2800"/>
            <w:shd w:fill="E8651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3240"/>
            <w:shd w:fill="E8651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Resources Needed</w:t>
            </w:r>
          </w:p>
        </w:tc>
      </w:tr>
      <w:tr>
        <w:tc>
          <w:tcPr>
            <w:tcW w:type="dxa" w:w="120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Pilot</w:t>
            </w:r>
          </w:p>
        </w:tc>
        <w:tc>
          <w:tcPr>
            <w:tcW w:type="dxa" w:w="140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Semester 1</w:t>
            </w:r>
          </w:p>
        </w:tc>
        <w:tc>
          <w:tcPr>
            <w:tcW w:type="dxa" w:w="280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Test with 1 college, 500 students</w:t>
            </w:r>
          </w:p>
        </w:tc>
        <w:tc>
          <w:tcPr>
            <w:tcW w:type="dxa" w:w="324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1 data scientist, server</w:t>
            </w:r>
          </w:p>
        </w:tc>
      </w:tr>
      <w:tr>
        <w:tc>
          <w:tcPr>
            <w:tcW w:type="dxa" w:w="120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Scale</w:t>
            </w:r>
          </w:p>
        </w:tc>
        <w:tc>
          <w:tcPr>
            <w:tcW w:type="dxa" w:w="140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Year 1</w:t>
            </w:r>
          </w:p>
        </w:tc>
        <w:tc>
          <w:tcPr>
            <w:tcW w:type="dxa" w:w="280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Expand to 10 colleges, 5,000 students</w:t>
            </w:r>
          </w:p>
        </w:tc>
        <w:tc>
          <w:tcPr>
            <w:tcW w:type="dxa" w:w="324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Cloud hosting, API</w:t>
            </w:r>
          </w:p>
        </w:tc>
      </w:tr>
      <w:tr>
        <w:tc>
          <w:tcPr>
            <w:tcW w:type="dxa" w:w="120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State-wide</w:t>
            </w:r>
          </w:p>
        </w:tc>
        <w:tc>
          <w:tcPr>
            <w:tcW w:type="dxa" w:w="140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Year 2</w:t>
            </w:r>
          </w:p>
        </w:tc>
        <w:tc>
          <w:tcPr>
            <w:tcW w:type="dxa" w:w="280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Partner with Haryana Education Dept.</w:t>
            </w:r>
          </w:p>
        </w:tc>
        <w:tc>
          <w:tcPr>
            <w:tcW w:type="dxa" w:w="324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Government collaboration</w:t>
            </w:r>
          </w:p>
        </w:tc>
      </w:tr>
      <w:tr>
        <w:tc>
          <w:tcPr>
            <w:tcW w:type="dxa" w:w="120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National</w:t>
            </w:r>
          </w:p>
        </w:tc>
        <w:tc>
          <w:tcPr>
            <w:tcW w:type="dxa" w:w="140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Year 3-5</w:t>
            </w:r>
          </w:p>
        </w:tc>
        <w:tc>
          <w:tcPr>
            <w:tcW w:type="dxa" w:w="280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Integrate with UDISE+ national data</w:t>
            </w:r>
          </w:p>
        </w:tc>
        <w:tc>
          <w:tcPr>
            <w:tcW w:type="dxa" w:w="324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Policy support, funding</w:t>
            </w:r>
          </w:p>
        </w:tc>
      </w:tr>
    </w:tbl>
    <w:p>
      <w:pPr>
        <w:spacing w:after="80" w:before="80"/>
      </w:pPr>
    </w:p>
    <w:p>
      <w:pPr>
        <w:pBdr>
          <w:bottom w:val="single" w:color="E8651A" w:sz="6"/>
        </w:pBdr>
        <w:spacing w:after="160" w:before="160"/>
      </w:pPr>
    </w:p>
    <w:p>
      <w:pPr>
        <w:pStyle w:val="Heading1"/>
        <w:spacing w:after="160" w:before="320"/>
      </w:pPr>
      <w:r>
        <w:rPr>
          <w:b/>
          <w:bCs/>
          <w:color w:val="E8651A"/>
          <w:sz w:val="32"/>
          <w:szCs w:val="32"/>
        </w:rPr>
        <w:t xml:space="preserve">7. Professional Reflection and Learning Outcomes</w:t>
      </w:r>
    </w:p>
    <w:p>
      <w:pPr>
        <w:pStyle w:val="Heading2"/>
        <w:spacing w:after="120" w:before="240"/>
      </w:pPr>
      <w:r>
        <w:rPr>
          <w:b/>
          <w:bCs/>
          <w:color w:val="1565C0"/>
          <w:sz w:val="26"/>
          <w:szCs w:val="26"/>
        </w:rPr>
        <w:t xml:space="preserve">7.1 Skills Developed During This Internship</w:t>
      </w:r>
    </w:p>
    <w:p>
      <w:pPr>
        <w:spacing w:after="80" w:before="80"/>
      </w:pP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240"/>
      </w:tblGrid>
      <w:tr>
        <w:trPr>
          <w:tblHeader/>
        </w:trPr>
        <w:tc>
          <w:tcPr>
            <w:tcW w:type="dxa" w:w="2200"/>
            <w:shd w:fill="E8651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Skill Area</w:t>
            </w:r>
          </w:p>
        </w:tc>
        <w:tc>
          <w:tcPr>
            <w:tcW w:type="dxa" w:w="3200"/>
            <w:shd w:fill="E8651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 Learned</w:t>
            </w:r>
          </w:p>
        </w:tc>
        <w:tc>
          <w:tcPr>
            <w:tcW w:type="dxa" w:w="3240"/>
            <w:shd w:fill="E8651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Proficiency Gained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Project Planning</w:t>
            </w:r>
          </w:p>
        </w:tc>
        <w:tc>
          <w:tcPr>
            <w:tcW w:type="dxa" w:w="320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CRISP-DM methodology, scope definition, timeline creation</w:t>
            </w:r>
          </w:p>
        </w:tc>
        <w:tc>
          <w:tcPr>
            <w:tcW w:type="dxa" w:w="324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Intermediate</w:t>
            </w:r>
          </w:p>
        </w:tc>
      </w:tr>
      <w:tr>
        <w:tc>
          <w:tcPr>
            <w:tcW w:type="dxa" w:w="220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Exploratory Data Analysis</w:t>
            </w:r>
          </w:p>
        </w:tc>
        <w:tc>
          <w:tcPr>
            <w:tcW w:type="dxa" w:w="320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Univariate, bivariate, multivariate analysis techniques</w:t>
            </w:r>
          </w:p>
        </w:tc>
        <w:tc>
          <w:tcPr>
            <w:tcW w:type="dxa" w:w="324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Intermediate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Data Preprocessing</w:t>
            </w:r>
          </w:p>
        </w:tc>
        <w:tc>
          <w:tcPr>
            <w:tcW w:type="dxa" w:w="320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Imputation, encoding, feature engineering, SMOTE</w:t>
            </w:r>
          </w:p>
        </w:tc>
        <w:tc>
          <w:tcPr>
            <w:tcW w:type="dxa" w:w="324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Intermediate</w:t>
            </w:r>
          </w:p>
        </w:tc>
      </w:tr>
      <w:tr>
        <w:tc>
          <w:tcPr>
            <w:tcW w:type="dxa" w:w="220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Machine Learning</w:t>
            </w:r>
          </w:p>
        </w:tc>
        <w:tc>
          <w:tcPr>
            <w:tcW w:type="dxa" w:w="320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Classification models, hyperparameter tuning, evaluation</w:t>
            </w:r>
          </w:p>
        </w:tc>
        <w:tc>
          <w:tcPr>
            <w:tcW w:type="dxa" w:w="324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Beginner-Intermediate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Data Visualization</w:t>
            </w:r>
          </w:p>
        </w:tc>
        <w:tc>
          <w:tcPr>
            <w:tcW w:type="dxa" w:w="320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Matplotlib, Seaborn, Plotly, dashboard design</w:t>
            </w:r>
          </w:p>
        </w:tc>
        <w:tc>
          <w:tcPr>
            <w:tcW w:type="dxa" w:w="324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Intermediate</w:t>
            </w:r>
          </w:p>
        </w:tc>
      </w:tr>
      <w:tr>
        <w:tc>
          <w:tcPr>
            <w:tcW w:type="dxa" w:w="220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Technical Writing</w:t>
            </w:r>
          </w:p>
        </w:tc>
        <w:tc>
          <w:tcPr>
            <w:tcW w:type="dxa" w:w="320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Professional report writing, executive summaries</w:t>
            </w:r>
          </w:p>
        </w:tc>
        <w:tc>
          <w:tcPr>
            <w:tcW w:type="dxa" w:w="324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Intermediate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Strategic Communication</w:t>
            </w:r>
          </w:p>
        </w:tc>
        <w:tc>
          <w:tcPr>
            <w:tcW w:type="dxa" w:w="320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Translating technical findings for non-technical audiences</w:t>
            </w:r>
          </w:p>
        </w:tc>
        <w:tc>
          <w:tcPr>
            <w:tcW w:type="dxa" w:w="324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Beginner-Intermediate</w:t>
            </w:r>
          </w:p>
        </w:tc>
      </w:tr>
      <w:tr>
        <w:tc>
          <w:tcPr>
            <w:tcW w:type="dxa" w:w="220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320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GitHub repository management, README documentation</w:t>
            </w:r>
          </w:p>
        </w:tc>
        <w:tc>
          <w:tcPr>
            <w:tcW w:type="dxa" w:w="324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Intermediate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40"/>
      </w:pPr>
      <w:r>
        <w:rPr>
          <w:b/>
          <w:bCs/>
          <w:color w:val="1565C0"/>
          <w:sz w:val="26"/>
          <w:szCs w:val="26"/>
        </w:rPr>
        <w:t xml:space="preserve">7.2 Key Takeaways</w:t>
      </w:r>
    </w:p>
    <w:p>
      <w:pPr>
        <w:pBdr>
          <w:left w:val="thick" w:color="1565C0" w:sz="12"/>
        </w:pBdr>
        <w:shd w:fill="F0F4FF" w:val="clear"/>
        <w:spacing w:after="120" w:before="120"/>
        <w:ind w:left="431" w:right="431"/>
      </w:pPr>
      <w:r>
        <w:rPr>
          <w:i/>
          <w:iCs/>
          <w:color w:val="1A1A2E"/>
          <w:sz w:val="22"/>
          <w:szCs w:val="22"/>
        </w:rPr>
        <w:t xml:space="preserve">'Data science is not just about building models — it is about asking the right questions, telling the right story, and making sure the insights lead to real action in the real world.'</w:t>
      </w:r>
    </w:p>
    <w:p>
      <w:pPr>
        <w:spacing w:after="80" w:before="80"/>
      </w:pPr>
    </w:p>
    <w:p>
      <w:pPr>
        <w:spacing w:after="60" w:before="60"/>
        <w:ind w:left="431"/>
      </w:pPr>
      <w:r>
        <w:rPr>
          <w:b/>
          <w:bCs/>
          <w:color w:val="E8651A"/>
          <w:sz w:val="22"/>
          <w:szCs w:val="22"/>
        </w:rPr>
        <w:t xml:space="preserve">● </w:t>
      </w:r>
      <w:r>
        <w:rPr>
          <w:b/>
          <w:bCs/>
          <w:color w:val="1A1A2E"/>
          <w:sz w:val="22"/>
          <w:szCs w:val="22"/>
        </w:rPr>
        <w:t xml:space="preserve">Planning is everything: </w:t>
      </w:r>
      <w:r>
        <w:rPr>
          <w:color w:val="1A1A2E"/>
          <w:sz w:val="22"/>
          <w:szCs w:val="22"/>
        </w:rPr>
        <w:t xml:space="preserve">A well-designed project plan (Week 1) makes every subsequent phase smoother and more focused.</w:t>
      </w:r>
    </w:p>
    <w:p>
      <w:pPr>
        <w:spacing w:after="60" w:before="60"/>
        <w:ind w:left="431"/>
      </w:pPr>
      <w:r>
        <w:rPr>
          <w:b/>
          <w:bCs/>
          <w:color w:val="E8651A"/>
          <w:sz w:val="22"/>
          <w:szCs w:val="22"/>
        </w:rPr>
        <w:t xml:space="preserve">● </w:t>
      </w:r>
      <w:r>
        <w:rPr>
          <w:b/>
          <w:bCs/>
          <w:color w:val="1A1A2E"/>
          <w:sz w:val="22"/>
          <w:szCs w:val="22"/>
        </w:rPr>
        <w:t xml:space="preserve">EDA prevents surprises: </w:t>
      </w:r>
      <w:r>
        <w:rPr>
          <w:color w:val="1A1A2E"/>
          <w:sz w:val="22"/>
          <w:szCs w:val="22"/>
        </w:rPr>
        <w:t xml:space="preserve">Understanding your data deeply before modeling saves hours of debugging later.</w:t>
      </w:r>
    </w:p>
    <w:p>
      <w:pPr>
        <w:spacing w:after="60" w:before="60"/>
        <w:ind w:left="431"/>
      </w:pPr>
      <w:r>
        <w:rPr>
          <w:b/>
          <w:bCs/>
          <w:color w:val="E8651A"/>
          <w:sz w:val="22"/>
          <w:szCs w:val="22"/>
        </w:rPr>
        <w:t xml:space="preserve">● </w:t>
      </w:r>
      <w:r>
        <w:rPr>
          <w:b/>
          <w:bCs/>
          <w:color w:val="1A1A2E"/>
          <w:sz w:val="22"/>
          <w:szCs w:val="22"/>
        </w:rPr>
        <w:t xml:space="preserve">No single metric tells the whole story: </w:t>
      </w:r>
      <w:r>
        <w:rPr>
          <w:color w:val="1A1A2E"/>
          <w:sz w:val="22"/>
          <w:szCs w:val="22"/>
        </w:rPr>
        <w:t xml:space="preserve">Accuracy alone is misleading; F1-score, Recall, and ROC-AUC together paint the full picture.</w:t>
      </w:r>
    </w:p>
    <w:p>
      <w:pPr>
        <w:spacing w:after="60" w:before="60"/>
        <w:ind w:left="431"/>
      </w:pPr>
      <w:r>
        <w:rPr>
          <w:b/>
          <w:bCs/>
          <w:color w:val="E8651A"/>
          <w:sz w:val="22"/>
          <w:szCs w:val="22"/>
        </w:rPr>
        <w:t xml:space="preserve">● </w:t>
      </w:r>
      <w:r>
        <w:rPr>
          <w:b/>
          <w:bCs/>
          <w:color w:val="1A1A2E"/>
          <w:sz w:val="22"/>
          <w:szCs w:val="22"/>
        </w:rPr>
        <w:t xml:space="preserve">Communication is a data skill: </w:t>
      </w:r>
      <w:r>
        <w:rPr>
          <w:color w:val="1A1A2E"/>
          <w:sz w:val="22"/>
          <w:szCs w:val="22"/>
        </w:rPr>
        <w:t xml:space="preserve">The best model is worthless if no one understands or acts on its outputs.</w:t>
      </w:r>
    </w:p>
    <w:p>
      <w:pPr>
        <w:spacing w:after="60" w:before="60"/>
        <w:ind w:left="431"/>
      </w:pPr>
      <w:r>
        <w:rPr>
          <w:b/>
          <w:bCs/>
          <w:color w:val="E8651A"/>
          <w:sz w:val="22"/>
          <w:szCs w:val="22"/>
        </w:rPr>
        <w:t xml:space="preserve">● </w:t>
      </w:r>
      <w:r>
        <w:rPr>
          <w:b/>
          <w:bCs/>
          <w:color w:val="1A1A2E"/>
          <w:sz w:val="22"/>
          <w:szCs w:val="22"/>
        </w:rPr>
        <w:t xml:space="preserve">Iteration is normal: </w:t>
      </w:r>
      <w:r>
        <w:rPr>
          <w:color w:val="1A1A2E"/>
          <w:sz w:val="22"/>
          <w:szCs w:val="22"/>
        </w:rPr>
        <w:t xml:space="preserve">Data science is not linear — going back to refine features or try new models is part of the process.</w:t>
      </w:r>
    </w:p>
    <w:p>
      <w:pPr>
        <w:pBdr>
          <w:bottom w:val="single" w:color="E8651A" w:sz="6"/>
        </w:pBdr>
        <w:spacing w:after="160" w:before="160"/>
      </w:pPr>
    </w:p>
    <w:p>
      <w:pPr>
        <w:pStyle w:val="Heading1"/>
        <w:spacing w:after="160" w:before="320"/>
      </w:pPr>
      <w:r>
        <w:rPr>
          <w:b/>
          <w:bCs/>
          <w:color w:val="E8651A"/>
          <w:sz w:val="32"/>
          <w:szCs w:val="32"/>
        </w:rPr>
        <w:t xml:space="preserve">8. Week 4 Timeline (30–35 Hours)</w:t>
      </w:r>
    </w:p>
    <w:p>
      <w:pPr>
        <w:spacing w:after="80" w:before="80"/>
      </w:pP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000"/>
        <w:gridCol w:w="720"/>
        <w:gridCol w:w="4200"/>
      </w:tblGrid>
      <w:tr>
        <w:trPr>
          <w:tblHeader/>
        </w:trPr>
        <w:tc>
          <w:tcPr>
            <w:tcW w:type="dxa" w:w="720"/>
            <w:shd w:fill="E8651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3000"/>
            <w:shd w:fill="E8651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720"/>
            <w:shd w:fill="E8651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  <w:tc>
          <w:tcPr>
            <w:tcW w:type="dxa" w:w="4200"/>
            <w:shd w:fill="E8651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72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Day 1</w:t>
            </w:r>
          </w:p>
        </w:tc>
        <w:tc>
          <w:tcPr>
            <w:tcW w:type="dxa" w:w="300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Executive summary, key findings consolidation, this DOC</w:t>
            </w:r>
          </w:p>
        </w:tc>
        <w:tc>
          <w:tcPr>
            <w:tcW w:type="dxa" w:w="72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5 hrs</w:t>
            </w:r>
          </w:p>
        </w:tc>
        <w:tc>
          <w:tcPr>
            <w:tcW w:type="dxa" w:w="420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Final report DOC</w:t>
            </w:r>
          </w:p>
        </w:tc>
      </w:tr>
      <w:tr>
        <w:tc>
          <w:tcPr>
            <w:tcW w:type="dxa" w:w="72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Day 2</w:t>
            </w:r>
          </w:p>
        </w:tc>
        <w:tc>
          <w:tcPr>
            <w:tcW w:type="dxa" w:w="300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Methodology review, results documentation</w:t>
            </w:r>
          </w:p>
        </w:tc>
        <w:tc>
          <w:tcPr>
            <w:tcW w:type="dxa" w:w="72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5 hrs</w:t>
            </w:r>
          </w:p>
        </w:tc>
        <w:tc>
          <w:tcPr>
            <w:tcW w:type="dxa" w:w="420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Methodology section</w:t>
            </w:r>
          </w:p>
        </w:tc>
      </w:tr>
      <w:tr>
        <w:tc>
          <w:tcPr>
            <w:tcW w:type="dxa" w:w="72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Day 3</w:t>
            </w:r>
          </w:p>
        </w:tc>
        <w:tc>
          <w:tcPr>
            <w:tcW w:type="dxa" w:w="300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Mock-up visualizations, chart design plan</w:t>
            </w:r>
          </w:p>
        </w:tc>
        <w:tc>
          <w:tcPr>
            <w:tcW w:type="dxa" w:w="72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5 hrs</w:t>
            </w:r>
          </w:p>
        </w:tc>
        <w:tc>
          <w:tcPr>
            <w:tcW w:type="dxa" w:w="420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All chart mock-ups</w:t>
            </w:r>
          </w:p>
        </w:tc>
      </w:tr>
      <w:tr>
        <w:tc>
          <w:tcPr>
            <w:tcW w:type="dxa" w:w="72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Day 4</w:t>
            </w:r>
          </w:p>
        </w:tc>
        <w:tc>
          <w:tcPr>
            <w:tcW w:type="dxa" w:w="300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Non-technical presentation script, storytelling framework</w:t>
            </w:r>
          </w:p>
        </w:tc>
        <w:tc>
          <w:tcPr>
            <w:tcW w:type="dxa" w:w="72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5 hrs</w:t>
            </w:r>
          </w:p>
        </w:tc>
        <w:tc>
          <w:tcPr>
            <w:tcW w:type="dxa" w:w="420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Presentation plan</w:t>
            </w:r>
          </w:p>
        </w:tc>
      </w:tr>
      <w:tr>
        <w:tc>
          <w:tcPr>
            <w:tcW w:type="dxa" w:w="72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Day 5</w:t>
            </w:r>
          </w:p>
        </w:tc>
        <w:tc>
          <w:tcPr>
            <w:tcW w:type="dxa" w:w="300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Recommendations, future work, scalability roadmap</w:t>
            </w:r>
          </w:p>
        </w:tc>
        <w:tc>
          <w:tcPr>
            <w:tcW w:type="dxa" w:w="72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5 hrs</w:t>
            </w:r>
          </w:p>
        </w:tc>
        <w:tc>
          <w:tcPr>
            <w:tcW w:type="dxa" w:w="420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Recommendations section</w:t>
            </w:r>
          </w:p>
        </w:tc>
      </w:tr>
      <w:tr>
        <w:tc>
          <w:tcPr>
            <w:tcW w:type="dxa" w:w="72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Day 6</w:t>
            </w:r>
          </w:p>
        </w:tc>
        <w:tc>
          <w:tcPr>
            <w:tcW w:type="dxa" w:w="300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Professional reflection, skills matrix, learning outcomes</w:t>
            </w:r>
          </w:p>
        </w:tc>
        <w:tc>
          <w:tcPr>
            <w:tcW w:type="dxa" w:w="72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5 hrs</w:t>
            </w:r>
          </w:p>
        </w:tc>
        <w:tc>
          <w:tcPr>
            <w:tcW w:type="dxa" w:w="4200"/>
            <w:shd w:fill="FFF3E0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Reflection section</w:t>
            </w:r>
          </w:p>
        </w:tc>
      </w:tr>
      <w:tr>
        <w:tc>
          <w:tcPr>
            <w:tcW w:type="dxa" w:w="72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Day 7</w:t>
            </w:r>
          </w:p>
        </w:tc>
        <w:tc>
          <w:tcPr>
            <w:tcW w:type="dxa" w:w="300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Final proofreading, GitHub upload, portfolio update</w:t>
            </w:r>
          </w:p>
        </w:tc>
        <w:tc>
          <w:tcPr>
            <w:tcW w:type="dxa" w:w="72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5 hrs</w:t>
            </w:r>
          </w:p>
        </w:tc>
        <w:tc>
          <w:tcPr>
            <w:tcW w:type="dxa" w:w="420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Polished final report</w:t>
            </w:r>
          </w:p>
        </w:tc>
      </w:tr>
    </w:tbl>
    <w:p>
      <w:pPr>
        <w:spacing w:after="80" w:before="80"/>
      </w:pPr>
    </w:p>
    <w:p>
      <w:pPr>
        <w:pBdr>
          <w:bottom w:val="single" w:color="E8651A" w:sz="6"/>
        </w:pBdr>
        <w:spacing w:after="160" w:before="160"/>
      </w:pPr>
    </w:p>
    <w:p>
      <w:pPr>
        <w:pStyle w:val="Heading1"/>
        <w:spacing w:after="160" w:before="320"/>
      </w:pPr>
      <w:r>
        <w:rPr>
          <w:b/>
          <w:bCs/>
          <w:color w:val="E8651A"/>
          <w:sz w:val="32"/>
          <w:szCs w:val="32"/>
        </w:rPr>
        <w:t xml:space="preserve">9. Final Conclusion</w:t>
      </w:r>
    </w:p>
    <w:p>
      <w:pPr>
        <w:spacing w:after="80" w:before="80"/>
      </w:pPr>
      <w:r>
        <w:rPr>
          <w:color w:val="1A1A2E"/>
          <w:sz w:val="22"/>
          <w:szCs w:val="22"/>
        </w:rPr>
        <w:t xml:space="preserve">This comprehensive data science report marks the successful completion of all four weeks of the Virtual Data Science Explorer Internship at YuvaIntern. What began as a project planning exercise in Week 1 has culminated in a fully designed, end-to-end data science solution for one of India's most pressing education challenges.</w:t>
      </w:r>
    </w:p>
    <w:p>
      <w:pPr>
        <w:spacing w:after="80" w:before="80"/>
      </w:pPr>
      <w:r>
        <w:rPr>
          <w:color w:val="1A1A2E"/>
          <w:sz w:val="22"/>
          <w:szCs w:val="22"/>
        </w:rPr>
        <w:t xml:space="preserve">The Student Academic Performance Prediction System demonstrates that machine learning, when applied thoughtfully and ethically, can transform how educational institutions support their students. With 83.75% accuracy and 79% recall for at-risk students, the Random Forest model provides a reliable, deployable tool for early intervention.</w:t>
      </w:r>
    </w:p>
    <w:p>
      <w:pPr>
        <w:spacing w:after="80" w:before="80"/>
      </w:pPr>
      <w:r>
        <w:rPr>
          <w:color w:val="1A1A2E"/>
          <w:sz w:val="22"/>
          <w:szCs w:val="22"/>
        </w:rPr>
        <w:t xml:space="preserve">More importantly, this project demonstrates something beyond technical skill: the ability to frame a meaningful problem, explore data with curiosity, build models with rigor, and communicate results with clarity. These four qualities define a true data science professional.</w:t>
      </w:r>
    </w:p>
    <w:p>
      <w:pPr>
        <w:pBdr>
          <w:left w:val="thick" w:color="E8651A" w:sz="12"/>
        </w:pBdr>
        <w:shd w:fill="F0F4FF" w:val="clear"/>
        <w:spacing w:after="120" w:before="120"/>
        <w:ind w:left="431" w:right="431"/>
      </w:pPr>
      <w:r>
        <w:rPr>
          <w:i/>
          <w:iCs/>
          <w:color w:val="1A1A2E"/>
          <w:sz w:val="22"/>
          <w:szCs w:val="22"/>
        </w:rPr>
        <w:t xml:space="preserve">This internship has been a transformative learning experience — bridging the gap between theoretical knowledge and practical data science thinking. Every concept learned here forms a stepping stone toward a career in data analytics and machine learning.</w:t>
      </w:r>
    </w:p>
    <w:p>
      <w:pPr>
        <w:pBdr>
          <w:bottom w:val="single" w:color="E8651A" w:sz="6"/>
        </w:pBdr>
        <w:spacing w:after="160" w:before="160"/>
      </w:pPr>
    </w:p>
    <w:p>
      <w:pPr>
        <w:pStyle w:val="Heading1"/>
        <w:spacing w:after="160" w:before="320"/>
      </w:pPr>
      <w:r>
        <w:rPr>
          <w:b/>
          <w:bCs/>
          <w:color w:val="E8651A"/>
          <w:sz w:val="32"/>
          <w:szCs w:val="32"/>
        </w:rPr>
        <w:t xml:space="preserve">References</w:t>
      </w:r>
    </w:p>
    <w:p>
      <w:pPr>
        <w:spacing w:after="60" w:before="60"/>
        <w:ind w:left="431"/>
      </w:pPr>
      <w:r>
        <w:rPr>
          <w:b/>
          <w:bCs/>
          <w:color w:val="E8651A"/>
          <w:sz w:val="22"/>
          <w:szCs w:val="22"/>
        </w:rPr>
        <w:t xml:space="preserve">● </w:t>
      </w:r>
      <w:r>
        <w:rPr>
          <w:b/>
          <w:bCs/>
          <w:color w:val="1A1A2E"/>
          <w:sz w:val="22"/>
          <w:szCs w:val="22"/>
        </w:rPr>
        <w:t xml:space="preserve">Scikit-learn Documentation — https://scikit-learn.org/stable/</w:t>
      </w:r>
      <w:r>
        <w:rPr>
          <w:color w:val="1A1A2E"/>
          <w:sz w:val="22"/>
          <w:szCs w:val="22"/>
        </w:rPr>
        <w:t xml:space="preserve"/>
      </w:r>
    </w:p>
    <w:p>
      <w:pPr>
        <w:spacing w:after="60" w:before="60"/>
        <w:ind w:left="431"/>
      </w:pPr>
      <w:r>
        <w:rPr>
          <w:b/>
          <w:bCs/>
          <w:color w:val="E8651A"/>
          <w:sz w:val="22"/>
          <w:szCs w:val="22"/>
        </w:rPr>
        <w:t xml:space="preserve">● </w:t>
      </w:r>
      <w:r>
        <w:rPr>
          <w:b/>
          <w:bCs/>
          <w:color w:val="1A1A2E"/>
          <w:sz w:val="22"/>
          <w:szCs w:val="22"/>
        </w:rPr>
        <w:t xml:space="preserve">Pandas Documentation — https://pandas.pydata.org/docs/</w:t>
      </w:r>
      <w:r>
        <w:rPr>
          <w:color w:val="1A1A2E"/>
          <w:sz w:val="22"/>
          <w:szCs w:val="22"/>
        </w:rPr>
        <w:t xml:space="preserve"/>
      </w:r>
    </w:p>
    <w:p>
      <w:pPr>
        <w:spacing w:after="60" w:before="60"/>
        <w:ind w:left="431"/>
      </w:pPr>
      <w:r>
        <w:rPr>
          <w:b/>
          <w:bCs/>
          <w:color w:val="E8651A"/>
          <w:sz w:val="22"/>
          <w:szCs w:val="22"/>
        </w:rPr>
        <w:t xml:space="preserve">● </w:t>
      </w:r>
      <w:r>
        <w:rPr>
          <w:b/>
          <w:bCs/>
          <w:color w:val="1A1A2E"/>
          <w:sz w:val="22"/>
          <w:szCs w:val="22"/>
        </w:rPr>
        <w:t xml:space="preserve">Plotly Documentation — https://plotly.com/python/</w:t>
      </w:r>
      <w:r>
        <w:rPr>
          <w:color w:val="1A1A2E"/>
          <w:sz w:val="22"/>
          <w:szCs w:val="22"/>
        </w:rPr>
        <w:t xml:space="preserve"/>
      </w:r>
    </w:p>
    <w:p>
      <w:pPr>
        <w:spacing w:after="60" w:before="60"/>
        <w:ind w:left="431"/>
      </w:pPr>
      <w:r>
        <w:rPr>
          <w:b/>
          <w:bCs/>
          <w:color w:val="E8651A"/>
          <w:sz w:val="22"/>
          <w:szCs w:val="22"/>
        </w:rPr>
        <w:t xml:space="preserve">● </w:t>
      </w:r>
      <w:r>
        <w:rPr>
          <w:b/>
          <w:bCs/>
          <w:color w:val="1A1A2E"/>
          <w:sz w:val="22"/>
          <w:szCs w:val="22"/>
        </w:rPr>
        <w:t xml:space="preserve">CRISP-DM Methodology — Chapman et al. (2000)</w:t>
      </w:r>
      <w:r>
        <w:rPr>
          <w:color w:val="1A1A2E"/>
          <w:sz w:val="22"/>
          <w:szCs w:val="22"/>
        </w:rPr>
        <w:t xml:space="preserve"/>
      </w:r>
    </w:p>
    <w:p>
      <w:pPr>
        <w:spacing w:after="60" w:before="60"/>
        <w:ind w:left="431"/>
      </w:pPr>
      <w:r>
        <w:rPr>
          <w:b/>
          <w:bCs/>
          <w:color w:val="E8651A"/>
          <w:sz w:val="22"/>
          <w:szCs w:val="22"/>
        </w:rPr>
        <w:t xml:space="preserve">● </w:t>
      </w:r>
      <w:r>
        <w:rPr>
          <w:b/>
          <w:bCs/>
          <w:color w:val="1A1A2E"/>
          <w:sz w:val="22"/>
          <w:szCs w:val="22"/>
        </w:rPr>
        <w:t xml:space="preserve">SMOTE — Chawla et al. (2002). JAIR, 16, 321–357.</w:t>
      </w:r>
      <w:r>
        <w:rPr>
          <w:color w:val="1A1A2E"/>
          <w:sz w:val="22"/>
          <w:szCs w:val="22"/>
        </w:rPr>
        <w:t xml:space="preserve"/>
      </w:r>
    </w:p>
    <w:p>
      <w:pPr>
        <w:spacing w:after="60" w:before="60"/>
        <w:ind w:left="431"/>
      </w:pPr>
      <w:r>
        <w:rPr>
          <w:b/>
          <w:bCs/>
          <w:color w:val="E8651A"/>
          <w:sz w:val="22"/>
          <w:szCs w:val="22"/>
        </w:rPr>
        <w:t xml:space="preserve">● </w:t>
      </w:r>
      <w:r>
        <w:rPr>
          <w:b/>
          <w:bCs/>
          <w:color w:val="1A1A2E"/>
          <w:sz w:val="22"/>
          <w:szCs w:val="22"/>
        </w:rPr>
        <w:t xml:space="preserve">Breiman, L. (2001). Random Forests. Machine Learning, 45, 5–32.</w:t>
      </w:r>
      <w:r>
        <w:rPr>
          <w:color w:val="1A1A2E"/>
          <w:sz w:val="22"/>
          <w:szCs w:val="22"/>
        </w:rPr>
        <w:t xml:space="preserve"/>
      </w:r>
    </w:p>
    <w:p>
      <w:pPr>
        <w:spacing w:after="60" w:before="60"/>
        <w:ind w:left="431"/>
      </w:pPr>
      <w:r>
        <w:rPr>
          <w:b/>
          <w:bCs/>
          <w:color w:val="E8651A"/>
          <w:sz w:val="22"/>
          <w:szCs w:val="22"/>
        </w:rPr>
        <w:t xml:space="preserve">● </w:t>
      </w:r>
      <w:r>
        <w:rPr>
          <w:b/>
          <w:bCs/>
          <w:color w:val="1A1A2E"/>
          <w:sz w:val="22"/>
          <w:szCs w:val="22"/>
        </w:rPr>
        <w:t xml:space="preserve">UDISE+ India Education Data — https://udiseplus.gov.in</w:t>
      </w:r>
      <w:r>
        <w:rPr>
          <w:color w:val="1A1A2E"/>
          <w:sz w:val="22"/>
          <w:szCs w:val="22"/>
        </w:rPr>
        <w:t xml:space="preserve"/>
      </w:r>
    </w:p>
    <w:p>
      <w:pPr>
        <w:spacing w:after="60" w:before="60"/>
        <w:ind w:left="431"/>
      </w:pPr>
      <w:r>
        <w:rPr>
          <w:b/>
          <w:bCs/>
          <w:color w:val="E8651A"/>
          <w:sz w:val="22"/>
          <w:szCs w:val="22"/>
        </w:rPr>
        <w:t xml:space="preserve">● </w:t>
      </w:r>
      <w:r>
        <w:rPr>
          <w:b/>
          <w:bCs/>
          <w:color w:val="1A1A2E"/>
          <w:sz w:val="22"/>
          <w:szCs w:val="22"/>
        </w:rPr>
        <w:t xml:space="preserve">Hands-On Machine Learning — Aurélien Géron, O'Reilly, 2022</w:t>
      </w:r>
      <w:r>
        <w:rPr>
          <w:color w:val="1A1A2E"/>
          <w:sz w:val="22"/>
          <w:szCs w:val="22"/>
        </w:rPr>
        <w:t xml:space="preserve"/>
      </w:r>
    </w:p>
    <w:p>
      <w:pPr>
        <w:pBdr>
          <w:bottom w:val="single" w:color="E8651A" w:sz="6"/>
        </w:pBdr>
        <w:spacing w:after="160" w:before="160"/>
      </w:pPr>
    </w:p>
    <w:p>
      <w:pPr>
        <w:spacing w:after="40" w:before="80"/>
        <w:jc w:val="center"/>
      </w:pPr>
      <w:r>
        <w:rPr>
          <w:b w:val="false"/>
          <w:bCs w:val="false"/>
          <w:color w:val="888888"/>
          <w:sz w:val="18"/>
          <w:szCs w:val="18"/>
        </w:rPr>
        <w:t xml:space="preserve">Final Week 4 Submission | Virtual Data Science Explorer Internship | YuvaIntern | NSDC</w:t>
      </w:r>
    </w:p>
    <w:p>
      <w:pPr>
        <w:spacing w:after="40" w:before="0"/>
        <w:jc w:val="center"/>
      </w:pPr>
      <w:r>
        <w:rPr>
          <w:b w:val="false"/>
          <w:bCs w:val="false"/>
          <w:color w:val="888888"/>
          <w:sz w:val="18"/>
          <w:szCs w:val="18"/>
        </w:rPr>
        <w:t xml:space="preserve">Prepared by Tripti | BCA Final Year | Govt. P.G. College for Women, Rohtak | August 2026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4: Comprehensive Data Science Report</dc:title>
  <dc:creator>Tripti</dc:creator>
  <cp:lastModifiedBy>Un-named</cp:lastModifiedBy>
  <cp:revision>1</cp:revision>
  <dcterms:created xsi:type="dcterms:W3CDTF">2026-08-21T11:37:30.142Z</dcterms:created>
  <dcterms:modified xsi:type="dcterms:W3CDTF">2026-08-21T11:37:30.154Z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