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sz w:val="20"/>
        </w:rPr>
        <w:t>HCLTech Career Shaper Programme  |  III Year Industry Project  |  2025-26</w:t>
      </w:r>
    </w:p>
    <w:p>
      <w:pPr>
        <w:spacing w:after="40"/>
        <w:jc w:val="center"/>
      </w:pPr>
      <w:r>
        <w:rPr>
          <w:b/>
          <w:i w:val="0"/>
          <w:sz w:val="44"/>
        </w:rPr>
        <w:t>Ethical Compliance Declaration</w:t>
      </w:r>
    </w:p>
    <w:p>
      <w:pPr>
        <w:spacing w:after="240"/>
        <w:jc w:val="center"/>
      </w:pPr>
      <w:r>
        <w:rPr>
          <w:b w:val="0"/>
          <w:i w:val="0"/>
          <w:sz w:val="26"/>
        </w:rPr>
        <w:t>Project 72: RAG-Based Document Q&amp;A System</w:t>
      </w:r>
    </w:p>
    <w:tbl>
      <w:tblPr>
        <w:tblStyle w:val="TableGrid"/>
        <w:tblW w:type="auto" w:w="0"/>
        <w:jc w:val="center"/>
        <w:tblLayout w:type="fixed"/>
        <w:tblLook w:firstColumn="1" w:firstRow="1" w:lastColumn="0" w:lastRow="0" w:noHBand="0" w:noVBand="1" w:val="04A0"/>
      </w:tblPr>
      <w:tblGrid>
        <w:gridCol w:w="2835"/>
        <w:gridCol w:w="6236"/>
      </w:tblGrid>
      <w:tr>
        <w:trPr>
          <w:cantSplit/>
        </w:trPr>
        <w:tc>
          <w:tcPr>
            <w:tcW w:type="dxa" w:w="2835"/>
            <w:shd w:val="clear" w:color="auto" w:fill="1F4E79"/>
          </w:tcPr>
          <w:p>
            <w:pPr>
              <w:keepNext/>
              <w:spacing w:after="20"/>
            </w:pPr>
            <w:r/>
            <w:r>
              <w:rPr>
                <w:b/>
                <w:color w:val="FFFFFF"/>
                <w:sz w:val="20"/>
              </w:rPr>
              <w:t>Field</w:t>
            </w:r>
          </w:p>
        </w:tc>
        <w:tc>
          <w:tcPr>
            <w:tcW w:type="dxa" w:w="6236"/>
            <w:shd w:val="clear" w:color="auto" w:fill="1F4E79"/>
          </w:tcPr>
          <w:p>
            <w:pPr>
              <w:keepNext/>
              <w:spacing w:after="20"/>
            </w:pPr>
            <w:r/>
            <w:r>
              <w:rPr>
                <w:b/>
                <w:color w:val="FFFFFF"/>
                <w:sz w:val="20"/>
              </w:rPr>
              <w:t>Details</w:t>
            </w:r>
          </w:p>
        </w:tc>
      </w:tr>
      <w:tr>
        <w:trPr>
          <w:cantSplit/>
        </w:trPr>
        <w:tc>
          <w:tcPr>
            <w:tcW w:type="dxa" w:w="2835"/>
          </w:tcPr>
          <w:p>
            <w:pPr>
              <w:keepNext/>
              <w:spacing w:after="20"/>
            </w:pPr>
            <w:r/>
            <w:r>
              <w:rPr>
                <w:b w:val="0"/>
                <w:sz w:val="20"/>
              </w:rPr>
              <w:t>Learner name</w:t>
            </w:r>
          </w:p>
        </w:tc>
        <w:tc>
          <w:tcPr>
            <w:tcW w:type="dxa" w:w="6236"/>
          </w:tcPr>
          <w:p>
            <w:pPr>
              <w:keepNext/>
              <w:spacing w:after="20"/>
            </w:pPr>
            <w:r/>
            <w:r>
              <w:rPr>
                <w:b w:val="0"/>
                <w:sz w:val="20"/>
              </w:rPr>
              <w:t>[FILL IN]</w:t>
            </w:r>
          </w:p>
        </w:tc>
      </w:tr>
      <w:tr>
        <w:trPr>
          <w:cantSplit/>
        </w:trPr>
        <w:tc>
          <w:tcPr>
            <w:tcW w:type="dxa" w:w="2835"/>
            <w:shd w:val="clear" w:color="auto" w:fill="EAF1F8"/>
          </w:tcPr>
          <w:p>
            <w:pPr>
              <w:spacing w:after="20"/>
            </w:pPr>
            <w:r/>
            <w:r>
              <w:rPr>
                <w:b w:val="0"/>
                <w:sz w:val="20"/>
              </w:rPr>
              <w:t>Roll number</w:t>
            </w:r>
          </w:p>
        </w:tc>
        <w:tc>
          <w:tcPr>
            <w:tcW w:type="dxa" w:w="6236"/>
            <w:shd w:val="clear" w:color="auto" w:fill="EAF1F8"/>
          </w:tcPr>
          <w:p>
            <w:pPr>
              <w:spacing w:after="20"/>
            </w:pPr>
            <w:r/>
            <w:r>
              <w:rPr>
                <w:b w:val="0"/>
                <w:sz w:val="20"/>
              </w:rPr>
              <w:t>[FILL IN]</w:t>
            </w:r>
          </w:p>
        </w:tc>
      </w:tr>
      <w:tr>
        <w:trPr>
          <w:cantSplit/>
        </w:trPr>
        <w:tc>
          <w:tcPr>
            <w:tcW w:type="dxa" w:w="2835"/>
          </w:tcPr>
          <w:p>
            <w:pPr>
              <w:spacing w:after="20"/>
            </w:pPr>
            <w:r/>
            <w:r>
              <w:rPr>
                <w:b w:val="0"/>
                <w:sz w:val="20"/>
              </w:rPr>
              <w:t>College / campus</w:t>
            </w:r>
          </w:p>
        </w:tc>
        <w:tc>
          <w:tcPr>
            <w:tcW w:type="dxa" w:w="6236"/>
          </w:tcPr>
          <w:p>
            <w:pPr>
              <w:spacing w:after="20"/>
            </w:pPr>
            <w:r/>
            <w:r>
              <w:rPr>
                <w:b w:val="0"/>
                <w:sz w:val="20"/>
              </w:rPr>
              <w:t>[FILL IN]</w:t>
            </w:r>
          </w:p>
        </w:tc>
      </w:tr>
      <w:tr>
        <w:trPr>
          <w:cantSplit/>
        </w:trPr>
        <w:tc>
          <w:tcPr>
            <w:tcW w:type="dxa" w:w="2835"/>
            <w:shd w:val="clear" w:color="auto" w:fill="EAF1F8"/>
          </w:tcPr>
          <w:p>
            <w:pPr>
              <w:spacing w:after="20"/>
            </w:pPr>
            <w:r/>
            <w:r>
              <w:rPr>
                <w:b w:val="0"/>
                <w:sz w:val="20"/>
              </w:rPr>
              <w:t>Mentor name</w:t>
            </w:r>
          </w:p>
        </w:tc>
        <w:tc>
          <w:tcPr>
            <w:tcW w:type="dxa" w:w="6236"/>
            <w:shd w:val="clear" w:color="auto" w:fill="EAF1F8"/>
          </w:tcPr>
          <w:p>
            <w:pPr>
              <w:spacing w:after="20"/>
            </w:pPr>
            <w:r/>
            <w:r>
              <w:rPr>
                <w:b w:val="0"/>
                <w:sz w:val="20"/>
              </w:rPr>
              <w:t>[FILL IN]</w:t>
            </w:r>
          </w:p>
        </w:tc>
      </w:tr>
    </w:tbl>
    <w:p>
      <w:pPr>
        <w:spacing w:after="40"/>
      </w:pPr>
    </w:p>
    <w:p>
      <w:r>
        <w:rPr>
          <w:b/>
          <w:i w:val="0"/>
          <w:sz w:val="20"/>
        </w:rPr>
        <w:t>To the learner:</w:t>
      </w:r>
      <w:r>
        <w:rPr>
          <w:b w:val="0"/>
          <w:i w:val="0"/>
          <w:sz w:val="20"/>
        </w:rPr>
        <w:t xml:space="preserve"> this form has been pre-filled with the evidence from the project but it is </w:t>
      </w:r>
      <w:r>
        <w:rPr>
          <w:b/>
          <w:i w:val="0"/>
          <w:sz w:val="20"/>
        </w:rPr>
        <w:t>not signed</w:t>
      </w:r>
      <w:r>
        <w:rPr>
          <w:b w:val="0"/>
          <w:i w:val="0"/>
          <w:sz w:val="20"/>
        </w:rPr>
        <w:t>. Read each statement, check that it is true for your submission, tick the box (replace the empty box with a check mark), then sign and date it. Do not sign a statement you have not verified.</w:t>
      </w:r>
    </w:p>
    <w:p>
      <w:pPr>
        <w:pStyle w:val="Heading2"/>
      </w:pPr>
      <w:r>
        <w:t>I confirm that:</w:t>
      </w:r>
    </w:p>
    <w:p>
      <w:pPr>
        <w:keepNext/>
        <w:spacing w:after="60"/>
      </w:pPr>
      <w:r>
        <w:rPr>
          <w:b/>
          <w:i w:val="0"/>
          <w:sz w:val="19"/>
        </w:rPr>
        <w:t>Table 1. Declaration items</w:t>
      </w:r>
    </w:p>
    <w:tbl>
      <w:tblPr>
        <w:tblStyle w:val="TableGrid"/>
        <w:tblW w:type="auto" w:w="0"/>
        <w:jc w:val="center"/>
        <w:tblLayout w:type="fixed"/>
        <w:tblLook w:firstColumn="1" w:firstRow="1" w:lastColumn="0" w:lastRow="0" w:noHBand="0" w:noVBand="1" w:val="04A0"/>
      </w:tblPr>
      <w:tblGrid>
        <w:gridCol w:w="567"/>
        <w:gridCol w:w="3175"/>
        <w:gridCol w:w="5443"/>
      </w:tblGrid>
      <w:tr>
        <w:trPr>
          <w:cantSplit/>
        </w:trPr>
        <w:tc>
          <w:tcPr>
            <w:tcW w:type="dxa" w:w="567"/>
            <w:shd w:val="clear" w:color="auto" w:fill="1F4E79"/>
          </w:tcPr>
          <w:p>
            <w:pPr>
              <w:keepNext/>
              <w:spacing w:after="20"/>
            </w:pPr>
            <w:r/>
            <w:r>
              <w:rPr>
                <w:b/>
                <w:color w:val="FFFFFF"/>
                <w:sz w:val="18"/>
              </w:rPr>
            </w:r>
          </w:p>
        </w:tc>
        <w:tc>
          <w:tcPr>
            <w:tcW w:type="dxa" w:w="3175"/>
            <w:shd w:val="clear" w:color="auto" w:fill="1F4E79"/>
          </w:tcPr>
          <w:p>
            <w:pPr>
              <w:keepNext/>
              <w:spacing w:after="20"/>
            </w:pPr>
            <w:r/>
            <w:r>
              <w:rPr>
                <w:b/>
                <w:color w:val="FFFFFF"/>
                <w:sz w:val="18"/>
              </w:rPr>
              <w:t>Statement</w:t>
            </w:r>
          </w:p>
        </w:tc>
        <w:tc>
          <w:tcPr>
            <w:tcW w:type="dxa" w:w="5443"/>
            <w:shd w:val="clear" w:color="auto" w:fill="1F4E79"/>
          </w:tcPr>
          <w:p>
            <w:pPr>
              <w:keepNext/>
              <w:spacing w:after="20"/>
            </w:pPr>
            <w:r/>
            <w:r>
              <w:rPr>
                <w:b/>
                <w:color w:val="FFFFFF"/>
                <w:sz w:val="18"/>
              </w:rPr>
              <w:t>Evidence in this project (for you to verify)</w:t>
            </w:r>
          </w:p>
        </w:tc>
      </w:tr>
      <w:tr>
        <w:trPr>
          <w:cantSplit/>
        </w:trPr>
        <w:tc>
          <w:tcPr>
            <w:tcW w:type="dxa" w:w="567"/>
          </w:tcPr>
          <w:p>
            <w:pPr>
              <w:keepNext/>
              <w:spacing w:after="20"/>
            </w:pPr>
            <w:r/>
            <w:r>
              <w:rPr>
                <w:b w:val="0"/>
                <w:sz w:val="18"/>
              </w:rPr>
              <w:t>☐</w:t>
            </w:r>
          </w:p>
        </w:tc>
        <w:tc>
          <w:tcPr>
            <w:tcW w:type="dxa" w:w="3175"/>
          </w:tcPr>
          <w:p>
            <w:pPr>
              <w:keepNext/>
              <w:spacing w:after="20"/>
            </w:pPr>
            <w:r/>
            <w:r>
              <w:rPr>
                <w:b w:val="0"/>
                <w:sz w:val="18"/>
              </w:rPr>
              <w:t>All dataset usage complies with the source licence.</w:t>
            </w:r>
          </w:p>
        </w:tc>
        <w:tc>
          <w:tcPr>
            <w:tcW w:type="dxa" w:w="5443"/>
          </w:tcPr>
          <w:p>
            <w:pPr>
              <w:keepNext/>
              <w:spacing w:after="20"/>
            </w:pPr>
            <w:r/>
            <w:r>
              <w:rPr>
                <w:b w:val="0"/>
                <w:sz w:val="18"/>
              </w:rPr>
              <w:t>Corpus = public government material (Government of India publications; US federal public-domain works), paraphrased, with source and licence note per document in data/corpus_manifest.csv. dataset.csv = the programme-supplied file plus synthetic rows generated for this project.</w:t>
            </w:r>
          </w:p>
        </w:tc>
      </w:tr>
      <w:tr>
        <w:trPr>
          <w:cantSplit/>
        </w:trPr>
        <w:tc>
          <w:tcPr>
            <w:tcW w:type="dxa" w:w="567"/>
            <w:shd w:val="clear" w:color="auto" w:fill="EAF1F8"/>
          </w:tcPr>
          <w:p>
            <w:pPr>
              <w:spacing w:after="20"/>
            </w:pPr>
            <w:r/>
            <w:r>
              <w:rPr>
                <w:b w:val="0"/>
                <w:sz w:val="18"/>
              </w:rPr>
              <w:t>☐</w:t>
            </w:r>
          </w:p>
        </w:tc>
        <w:tc>
          <w:tcPr>
            <w:tcW w:type="dxa" w:w="3175"/>
            <w:shd w:val="clear" w:color="auto" w:fill="EAF1F8"/>
          </w:tcPr>
          <w:p>
            <w:pPr>
              <w:spacing w:after="20"/>
            </w:pPr>
            <w:r/>
            <w:r>
              <w:rPr>
                <w:b w:val="0"/>
                <w:sz w:val="18"/>
              </w:rPr>
              <w:t>No personally identifiable information (PII) is stored without consent.</w:t>
            </w:r>
          </w:p>
        </w:tc>
        <w:tc>
          <w:tcPr>
            <w:tcW w:type="dxa" w:w="5443"/>
            <w:shd w:val="clear" w:color="auto" w:fill="EAF1F8"/>
          </w:tcPr>
          <w:p>
            <w:pPr>
              <w:spacing w:after="20"/>
            </w:pPr>
            <w:r/>
            <w:r>
              <w:rPr>
                <w:b w:val="0"/>
                <w:sz w:val="18"/>
              </w:rPr>
              <w:t>No PII in corpus or datasets. App logs typed questions only to a local git-ignored CSV (logs/interactions.csv); uploads are processed in memory; users are advised not to enter personal data.</w:t>
            </w:r>
          </w:p>
        </w:tc>
      </w:tr>
      <w:tr>
        <w:trPr>
          <w:cantSplit/>
        </w:trPr>
        <w:tc>
          <w:tcPr>
            <w:tcW w:type="dxa" w:w="567"/>
          </w:tcPr>
          <w:p>
            <w:pPr>
              <w:spacing w:after="20"/>
            </w:pPr>
            <w:r/>
            <w:r>
              <w:rPr>
                <w:b w:val="0"/>
                <w:sz w:val="18"/>
              </w:rPr>
              <w:t>☐</w:t>
            </w:r>
          </w:p>
        </w:tc>
        <w:tc>
          <w:tcPr>
            <w:tcW w:type="dxa" w:w="3175"/>
          </w:tcPr>
          <w:p>
            <w:pPr>
              <w:spacing w:after="20"/>
            </w:pPr>
            <w:r/>
            <w:r>
              <w:rPr>
                <w:b w:val="0"/>
                <w:sz w:val="18"/>
              </w:rPr>
              <w:t>AI tools used for code/writing are disclosed in the Appendix.</w:t>
            </w:r>
          </w:p>
        </w:tc>
        <w:tc>
          <w:tcPr>
            <w:tcW w:type="dxa" w:w="5443"/>
          </w:tcPr>
          <w:p>
            <w:pPr>
              <w:spacing w:after="20"/>
            </w:pPr>
            <w:r/>
            <w:r>
              <w:rPr>
                <w:b w:val="0"/>
                <w:sz w:val="18"/>
              </w:rPr>
              <w:t>Appendix A below (also Appendix A of the report and the synopsis).</w:t>
            </w:r>
          </w:p>
        </w:tc>
      </w:tr>
      <w:tr>
        <w:trPr>
          <w:cantSplit/>
        </w:trPr>
        <w:tc>
          <w:tcPr>
            <w:tcW w:type="dxa" w:w="567"/>
            <w:shd w:val="clear" w:color="auto" w:fill="EAF1F8"/>
          </w:tcPr>
          <w:p>
            <w:pPr>
              <w:spacing w:after="20"/>
            </w:pPr>
            <w:r/>
            <w:r>
              <w:rPr>
                <w:b w:val="0"/>
                <w:sz w:val="18"/>
              </w:rPr>
              <w:t>☐</w:t>
            </w:r>
          </w:p>
        </w:tc>
        <w:tc>
          <w:tcPr>
            <w:tcW w:type="dxa" w:w="3175"/>
            <w:shd w:val="clear" w:color="auto" w:fill="EAF1F8"/>
          </w:tcPr>
          <w:p>
            <w:pPr>
              <w:spacing w:after="20"/>
            </w:pPr>
            <w:r/>
            <w:r>
              <w:rPr>
                <w:b w:val="0"/>
                <w:sz w:val="18"/>
              </w:rPr>
              <w:t>This project complies with the DPDP Act 2023 where applicable.</w:t>
            </w:r>
          </w:p>
        </w:tc>
        <w:tc>
          <w:tcPr>
            <w:tcW w:type="dxa" w:w="5443"/>
            <w:shd w:val="clear" w:color="auto" w:fill="EAF1F8"/>
          </w:tcPr>
          <w:p>
            <w:pPr>
              <w:spacing w:after="20"/>
            </w:pPr>
            <w:r/>
            <w:r>
              <w:rPr>
                <w:b w:val="0"/>
                <w:sz w:val="18"/>
              </w:rPr>
              <w:t>No personal data processed by design; if the OpenAI option is used, question and passage text is sent to that provider, which the user must accept; keys are kept in secrets, never in the repository.</w:t>
            </w:r>
          </w:p>
        </w:tc>
      </w:tr>
      <w:tr>
        <w:trPr>
          <w:cantSplit/>
        </w:trPr>
        <w:tc>
          <w:tcPr>
            <w:tcW w:type="dxa" w:w="567"/>
          </w:tcPr>
          <w:p>
            <w:pPr>
              <w:spacing w:after="20"/>
            </w:pPr>
            <w:r/>
            <w:r>
              <w:rPr>
                <w:b w:val="0"/>
                <w:sz w:val="18"/>
              </w:rPr>
              <w:t>☐</w:t>
            </w:r>
          </w:p>
        </w:tc>
        <w:tc>
          <w:tcPr>
            <w:tcW w:type="dxa" w:w="3175"/>
          </w:tcPr>
          <w:p>
            <w:pPr>
              <w:spacing w:after="20"/>
            </w:pPr>
            <w:r/>
            <w:r>
              <w:rPr>
                <w:b w:val="0"/>
                <w:sz w:val="18"/>
              </w:rPr>
              <w:t>The system displays the source chunk with every answer (brief, Section 8).</w:t>
            </w:r>
          </w:p>
        </w:tc>
        <w:tc>
          <w:tcPr>
            <w:tcW w:type="dxa" w:w="5443"/>
          </w:tcPr>
          <w:p>
            <w:pPr>
              <w:spacing w:after="20"/>
            </w:pPr>
            <w:r/>
            <w:r>
              <w:rPr>
                <w:b w:val="0"/>
                <w:sz w:val="18"/>
              </w:rPr>
              <w:t>app.py renders an expanded source-chunk panel for every answer, including refusals; unit test test_answer_always_ships_source_chunks.</w:t>
            </w:r>
          </w:p>
        </w:tc>
      </w:tr>
      <w:tr>
        <w:trPr>
          <w:cantSplit/>
        </w:trPr>
        <w:tc>
          <w:tcPr>
            <w:tcW w:type="dxa" w:w="567"/>
            <w:shd w:val="clear" w:color="auto" w:fill="EAF1F8"/>
          </w:tcPr>
          <w:p>
            <w:pPr>
              <w:spacing w:after="20"/>
            </w:pPr>
            <w:r/>
            <w:r>
              <w:rPr>
                <w:b w:val="0"/>
                <w:sz w:val="18"/>
              </w:rPr>
              <w:t>☐</w:t>
            </w:r>
          </w:p>
        </w:tc>
        <w:tc>
          <w:tcPr>
            <w:tcW w:type="dxa" w:w="3175"/>
            <w:shd w:val="clear" w:color="auto" w:fill="EAF1F8"/>
          </w:tcPr>
          <w:p>
            <w:pPr>
              <w:spacing w:after="20"/>
            </w:pPr>
            <w:r/>
            <w:r>
              <w:rPr>
                <w:b w:val="0"/>
                <w:sz w:val="18"/>
              </w:rPr>
              <w:t>The system is not presented as legal or medical advice.</w:t>
            </w:r>
          </w:p>
        </w:tc>
        <w:tc>
          <w:tcPr>
            <w:tcW w:type="dxa" w:w="5443"/>
            <w:shd w:val="clear" w:color="auto" w:fill="EAF1F8"/>
          </w:tcPr>
          <w:p>
            <w:pPr>
              <w:spacing w:after="20"/>
            </w:pPr>
            <w:r/>
            <w:r>
              <w:rPr>
                <w:b w:val="0"/>
                <w:sz w:val="18"/>
              </w:rPr>
              <w:t>Permanent warning banner; automatic notices for personal legal/medical questions; limitations stated in README and report Section 9.</w:t>
            </w:r>
          </w:p>
        </w:tc>
      </w:tr>
    </w:tbl>
    <w:p>
      <w:pPr>
        <w:spacing w:after="40"/>
      </w:pPr>
    </w:p>
    <w:p/>
    <w:p>
      <w:r>
        <w:rPr>
          <w:b w:val="0"/>
          <w:i w:val="0"/>
          <w:sz w:val="22"/>
        </w:rPr>
        <w:t>Learner signature: _____________________________        Date: ____________________</w:t>
      </w:r>
    </w:p>
    <w:p/>
    <w:p>
      <w:r>
        <w:rPr>
          <w:b w:val="0"/>
          <w:i w:val="0"/>
          <w:sz w:val="22"/>
        </w:rPr>
        <w:t>Mentor countersignature (if required): ____________________      Date: ______________</w:t>
      </w:r>
    </w:p>
    <w:p>
      <w:pPr>
        <w:pStyle w:val="Heading2"/>
      </w:pPr>
      <w:r>
        <w:t>Appendix A. AI-tool disclosure</w:t>
      </w:r>
    </w:p>
    <w:p>
      <w:r>
        <w:rPr>
          <w:b w:val="0"/>
          <w:i w:val="0"/>
          <w:sz w:val="20"/>
        </w:rPr>
        <w:t>AI assistance disclosure: the source code, corpus text, evaluation scripts, notebook and the first drafts of these documents were produced with the assistance of Claude (Anthropic's AI assistant) in response to the learner's instructions. Scheme facts that change over time were checked against current web sources on 28 October 2026 (for example the replacement of MGNREGA by VB-G RAM G on 1 July 2026 and NIST SP 800-63B Revision 4). The learner is responsible for reviewing, running and understanding all submitted material before submission.</w:t>
      </w:r>
    </w:p>
    <w:p>
      <w:pPr>
        <w:pStyle w:val="Heading2"/>
      </w:pPr>
      <w:r>
        <w:t>Appendix B. Known limitations relevant to ethical use</w:t>
      </w:r>
    </w:p>
    <w:p>
      <w:pPr>
        <w:pStyle w:val="ListBullet"/>
        <w:spacing w:after="40"/>
      </w:pPr>
      <w:r>
        <w:rPr>
          <w:b w:val="0"/>
          <w:i w:val="0"/>
        </w:rPr>
        <w:t>RAG answers can still be wrong; the source chunks must be read.</w:t>
      </w:r>
    </w:p>
    <w:p>
      <w:pPr>
        <w:pStyle w:val="ListBullet"/>
        <w:spacing w:after="40"/>
      </w:pPr>
      <w:r>
        <w:rPr>
          <w:b w:val="0"/>
          <w:i w:val="0"/>
        </w:rPr>
        <w:t>Corpus text is a condensed paraphrase and may be out of date; verify with the official source.</w:t>
      </w:r>
    </w:p>
    <w:p>
      <w:pPr>
        <w:pStyle w:val="ListBullet"/>
        <w:spacing w:after="40"/>
      </w:pPr>
      <w:r>
        <w:rPr>
          <w:b w:val="0"/>
          <w:i w:val="0"/>
        </w:rPr>
        <w:t>Dense-retrieval and LLM configurations were not evaluated in the development environment.</w:t>
      </w:r>
    </w:p>
    <w:p>
      <w:pPr>
        <w:pStyle w:val="ListBullet"/>
        <w:spacing w:after="40"/>
      </w:pPr>
      <w:r>
        <w:rPr>
          <w:b w:val="0"/>
          <w:i w:val="0"/>
        </w:rPr>
        <w:t>Monitoring-dataset scores are synthetic and do not describe real users or a real system.</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RAG-Based Document Q&amp;A System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